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机关食堂食材货物采购</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CGXM-2025-350001-10328[2025]05620</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[350001]FJSXY[GK]2025004</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福建省人民代表大会常务委员会办公厅</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福建省贤阅项目管理有限公司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2025年08月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福建省贤阅项目管理有限公司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机关食堂食材货物采购</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CGXM-2025-350001-10328[2025]05620</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[350001]FJSXY[GK]2025004</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特殊资格要求</w:t>
            </w:r>
          </w:p>
        </w:tc>
        <w:tc>
          <w:tcPr>
            <w:tcW w:type="dxa" w:w="4614"/>
          </w:tcPr>
          <w:p>
            <w:pPr>
              <w:pStyle w:val="null3"/>
              <w:jc w:val="left"/>
            </w:pPr>
            <w:r>
              <w:rPr>
                <w:rFonts w:ascii="仿宋_GB2312" w:hAnsi="仿宋_GB2312" w:cs="仿宋_GB2312" w:eastAsia="仿宋_GB2312"/>
              </w:rPr>
              <w:t>投标人须具备有效的《食品生产许可证》或《食品经营许可证》或《食品药品经营许可证》或《食品药品生产经营许可证》，并提供有效的证书复印件。在投标截止时间前，如因国家政策调整，国家有关行政部门有颁发新的食品方面许可证书的，应从其规定，投标人须提供书面说明。</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本项目专门面向中小企业采购，非中小企业的将被拒绝，须提供相关证明材料：1、投标人提供的货物、服务或者工程符合《政府采购促进中小企业发展管理办法》(财库〔2020〕46号) 第四条规定的情形，应提供《中小企业声明函》。若投标人提供的《中小企业声明函》中填写的行业与采购文件明确的采购标的对应的中小企业划分标准所属行业不一致，则不予认定为中小企业。2、投标人为监狱企业的视同小型和微型企业，可不提供《中小企业声明函》，但应当提供由省级以上监狱管理局、戒毒管理局(含新疆生产建设兵团)出具的属于监狱企业的证明文件。3、投标人为残疾人福利性单位的视同小型和微型企业，可不提供《中小企业声明函》，但应提供《残疾人福利性单位声明函》。本项目货物类采购，采购标的对应的中小企业划分标准所属行业为批发业。</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福建省人民代表大会常务委员会办公厅</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福州市五四路25号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87620796</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福建省贤阅项目管理有限公司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福建省福州市晋安区岳峰镇金鸡山路59号鼎鑫创意园D区301</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陈晓宏、叶俊捷、陈佳怡、林文哲</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0591-87529626</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福建省贤阅项目管理有限公司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1,800,000.00</w:t>
      </w:r>
    </w:p>
    <w:p>
      <w:pPr>
        <w:pStyle w:val="null3"/>
        <w:jc w:val="left"/>
      </w:pPr>
      <w:r>
        <w:rPr>
          <w:rFonts w:ascii="仿宋_GB2312" w:hAnsi="仿宋_GB2312" w:cs="仿宋_GB2312" w:eastAsia="仿宋_GB2312"/>
        </w:rPr>
        <w:t>采购包最高限价（元）: 1,800,000.00</w:t>
      </w:r>
    </w:p>
    <w:p>
      <w:pPr>
        <w:pStyle w:val="null3"/>
        <w:jc w:val="left"/>
      </w:pPr>
      <w:r>
        <w:rPr>
          <w:rFonts w:ascii="仿宋_GB2312" w:hAnsi="仿宋_GB2312" w:cs="仿宋_GB2312" w:eastAsia="仿宋_GB2312"/>
        </w:rPr>
        <w:t>采购包保证金金额（元）: 18,000.00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食堂食材货物</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1,800,000.00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批发业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食堂食材货物</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食堂食材货物</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食堂食材货物</w:t>
            </w:r>
          </w:p>
        </w:tc>
        <w:tc>
          <w:tcPr>
            <w:tcW w:type="dxa" w:w="2076"/>
          </w:tcPr>
          <w:p>
            <w:pPr>
              <w:pStyle w:val="null3"/>
              <w:jc w:val="left"/>
            </w:pPr>
            <w:r>
              <w:rPr>
                <w:rFonts w:ascii="仿宋_GB2312" w:hAnsi="仿宋_GB2312" w:cs="仿宋_GB2312" w:eastAsia="仿宋_GB2312"/>
              </w:rPr>
              <w:t>食堂食材货物</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福建省贤阅项目管理有限公司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以中标金额作为收费的计算基数，按差额定率累进法计算。②收费费率标准：中标金额在100万元以内的部分，收费费率标准1.5%。中标金额在100-500万元的部分，收费费率标准1.1%。③采购包中标人应在领取中标通知书的同时按规定的标准一次性向招标代理机构缴交招标代理服务费；招标代理服务费以银行转账、电汇或汇票等付款方式。代理服务费缴交账号：开户名：福建省贤阅项目管理有限公司，开户行：招商银行股份有限公司福州古田支行，账号：591907681710101。</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投标人必须对其投标文件中提供各种资料、说明的真实性负责。在评标过程中，如有发现投标人有为谋取中标而提供虚假资料欺骗采购人和评委的行为，将取消其中标资格。若在中标后和执行合同过程中发现其提供虚假资料的将取消其中标资格，给采购人造成损失的，还必须进行赔偿并负相关责任。评标过程中无论是否有对原件进行核实，投标人都必须对其提供各种资料、说明的真实性负责。 （2.2）质疑受理的其它要求：在法定质疑期内质疑人须一次性提出针对同一采购程序环节的质疑，二（多）次质疑不予受理。质疑人递交质疑函时还应出具质疑人已在福建省政府采购网上公开信息系统上获取招标文件的证明文件（体现查看时间或获取招标文件时间）【查看时间或获取招标文件时间以福建省政府采购网上公开信息系统记载为准】。 （2.3）远程开标的规定：①本项目支持远程开标，投标人可通过远程线上参与开标，具体系统操作指南详见福建省政府采购网首页上相关操作手册。②本项目开标过程中解密及远程签章的操作时限均为30分钟，请投标人务必密切关注实时开标流程，完成远程解密、远程签章。③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④在开标过程中，因系统故障等导致无法继续进行开标的，投标人须配合等待故障处理，待故障解除后继续开标。</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a.本项目执行《关于福建省财政厅关于电子化政府采购项目中视为串标情形认定与处理的指导意见》（闽财购〔2018〕30号）规定。</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福建省贤阅项目管理有限公司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福建省贤阅项目管理有限公司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福建省贤阅项目管理有限公司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福建省贤阅项目管理有限公司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福建省贤阅项目管理有限公司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福建省贤阅项目管理有限公司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福建省贤阅项目管理有限公司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福建省贤阅项目管理有限公司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福建省贤阅项目管理有限公司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福建省贤阅项目管理有限公司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福建省贤阅项目管理有限公司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福建省贤阅项目管理有限公司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福建省贤阅项目管理有限公司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福建省贤阅项目管理有限公司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福建省贤阅项目管理有限公司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福建省贤阅项目管理有限公司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福建省贤阅项目管理有限公司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福建省贤阅项目管理有限公司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福建省贤阅项目管理有限公司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福建省贤阅项目管理有限公司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福建省贤阅项目管理有限公司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福建省贤阅项目管理有限公司</w:t>
      </w:r>
      <w:r>
        <w:rPr>
          <w:rFonts w:ascii="仿宋_GB2312" w:hAnsi="仿宋_GB2312" w:cs="仿宋_GB2312" w:eastAsia="仿宋_GB2312"/>
        </w:rPr>
        <w:t xml:space="preserve"> 提出询问， </w:t>
      </w:r>
      <w:r>
        <w:rPr>
          <w:rFonts w:ascii="仿宋_GB2312" w:hAnsi="仿宋_GB2312" w:cs="仿宋_GB2312" w:eastAsia="仿宋_GB2312"/>
        </w:rPr>
        <w:t>福建省贤阅项目管理有限公司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福建省贤阅项目管理有限公司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福建省贤阅项目管理有限公司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由福建省贤阅项目管理有限公司派出的工作人员至少1人，</w:t>
      </w:r>
      <w:r>
        <w:rPr>
          <w:rFonts w:ascii="仿宋_GB2312" w:hAnsi="仿宋_GB2312" w:cs="仿宋_GB2312" w:eastAsia="仿宋_GB2312"/>
        </w:rPr>
        <w:t>其余1人可为采购人代表或福建省贤阅项目管理有限公司的工作人员。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特殊资格要求</w:t>
            </w:r>
          </w:p>
        </w:tc>
        <w:tc>
          <w:tcPr>
            <w:tcW w:type="dxa" w:w="4614"/>
          </w:tcPr>
          <w:p>
            <w:pPr>
              <w:pStyle w:val="null3"/>
              <w:jc w:val="left"/>
            </w:pPr>
            <w:r>
              <w:rPr>
                <w:rFonts w:ascii="仿宋_GB2312" w:hAnsi="仿宋_GB2312" w:cs="仿宋_GB2312" w:eastAsia="仿宋_GB2312"/>
              </w:rPr>
              <w:t>投标人须具备有效的《食品生产许可证》或《食品经营许可证》或《食品药品经营许可证》或《食品药品生产经营许可证》，并提供有效的证书复印件。在投标截止时间前，如因国家政策调整，国家有关行政部门有颁发新的食品方面许可证书的，应从其规定，投标人须提供书面说明。</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本项目专门面向中小企业采购，非中小企业的将被拒绝，须提供相关证明材料：1、投标人提供的货物、服务或者工程符合《政府采购促进中小企业发展管理办法》(财库〔2020〕46号) 第四条规定的情形，应提供《中小企业声明函》。若投标人提供的《中小企业声明函》中填写的行业与采购文件明确的采购标的对应的中小企业划分标准所属行业不一致，则不予认定为中小企业。2、投标人为监狱企业的视同小型和微型企业，可不提供《中小企业声明函》，但应当提供由省级以上监狱管理局、戒毒管理局(含新疆生产建设兵团)出具的属于监狱企业的证明文件。3、投标人为残疾人福利性单位的视同小型和微型企业，可不提供《中小企业声明函》，但应提供《残疾人福利性单位声明函》。本项目货物类采购，采购标的对应的中小企业划分标准所属行业为批发业。</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投标文件资格及资信证明部分中不得出现报价部分的全部或部分的投标报价信息（或组成资料），否则资格审查不合格；</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出现招标文件中载明“资格审查不合格”条款的规定。</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福建省贤阅项目管理有限公司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福建省贤阅项目管理有限公司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福建省贤阅项目管理有限公司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福建省贤阅项目管理有限公司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福建省贤阅项目管理有限公司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投标人对《第五章招标内容及要求》二、技术和服务要求中标注“★”的条款有负偏离或未响应的，按无效标处理；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投标人的技术部分实际得分少于招标文件设定的技术部分总分50%，即视为技术部分未实质性响应招标文件要求，按无效标处理；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投标文件的技术部分中出现报价部分的全部或部分的投标报价信息（或组成资料），按无效投标处理；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属于招标文件规定评标委员会应否决其投标的情形，无效投标条款的。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招标文件第五章“三、商务条件”中内容出现负偏离的，按无效投标处理；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投标文件的商务部分中出现报价部分的全部或部分的投标报价信息（或组成资料），按无效投标处理；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属于招标文件规定评标委员会应否决其投标的情形，无效投标条款的。</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投标报价超出最高限价的。</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福建省贤阅项目管理有限公司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价格项（F1×A1）满分为35.0000分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技术项（F2×A2）满分为51.0000分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1.技术响应情况</w:t>
            </w:r>
          </w:p>
        </w:tc>
        <w:tc>
          <w:tcPr>
            <w:tcW w:type="dxa" w:w="831"/>
          </w:tcPr>
          <w:p>
            <w:pPr>
              <w:pStyle w:val="null3"/>
              <w:jc w:val="right"/>
            </w:pPr>
            <w:r>
              <w:rPr>
                <w:rFonts w:ascii="仿宋_GB2312" w:hAnsi="仿宋_GB2312" w:cs="仿宋_GB2312" w:eastAsia="仿宋_GB2312"/>
              </w:rPr>
              <w:t>26.00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对招标文件第五章“二、技术和服务要求”中偏离情况进行评分：标注“★”条款（共计8项）为实质性要求，不得出现负偏离，否则投标无效；其余技术要求每负偏离一项扣2.6分（共计10项），满分26分。正偏离不加分。注：①投标人必须根据该评审内容，对照招标文件的要求逐项进行应答，如实说明正、负偏离情况，否则，可能做出不利于投标人的评判（负偏离）。</w:t>
            </w:r>
          </w:p>
        </w:tc>
      </w:tr>
      <w:tr>
        <w:tc>
          <w:tcPr>
            <w:tcW w:type="dxa" w:w="3322"/>
          </w:tcPr>
          <w:p>
            <w:pPr>
              <w:pStyle w:val="null3"/>
              <w:jc w:val="both"/>
            </w:pPr>
            <w:r>
              <w:rPr>
                <w:rFonts w:ascii="仿宋_GB2312" w:hAnsi="仿宋_GB2312" w:cs="仿宋_GB2312" w:eastAsia="仿宋_GB2312"/>
              </w:rPr>
              <w:t>2.实施方案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实施方案【包括但不限于①食品质量保障方案、②配送方案、③应急方案、④管理方案（如日常人员管理制度、商品回溯制度、货物运输车辆的定期消毒制度等）】由评委进行评分：方案详实、完整、可操作性强且符合本项目实际情况的得3分；方案较详实、可操作性较强且基本符合本项目实际情况得2分；方案内容存在缺漏、操作性一般且基本符合服务项目实际情况的得1.5分；未提供的或提供的方案不符合要求的不得分。</w:t>
            </w:r>
          </w:p>
        </w:tc>
      </w:tr>
      <w:tr>
        <w:tc>
          <w:tcPr>
            <w:tcW w:type="dxa" w:w="3322"/>
          </w:tcPr>
          <w:p>
            <w:pPr>
              <w:pStyle w:val="null3"/>
              <w:jc w:val="both"/>
            </w:pPr>
            <w:r>
              <w:rPr>
                <w:rFonts w:ascii="仿宋_GB2312" w:hAnsi="仿宋_GB2312" w:cs="仿宋_GB2312" w:eastAsia="仿宋_GB2312"/>
              </w:rPr>
              <w:t>3.供货实力情况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针对投标人的供货实力情况评分（重点考核货源渠道-合作供货商），投标人每提供一家本项目内产品的长期合作货源供货商的得1分，满分3分。【投标人须提供的合作合同复印件（合同期须覆盖本项目供货期）及合作期中任意三笔或以上交易流水证明材料。注：①同一货源供货商提供的多个合作协议，仅按一家计算；同一产品有多家货源情况供货商的，按一家计算。②合作合同可续签，多份累计，但合同须为连续性合同。】</w:t>
            </w:r>
          </w:p>
        </w:tc>
      </w:tr>
      <w:tr>
        <w:tc>
          <w:tcPr>
            <w:tcW w:type="dxa" w:w="3322"/>
          </w:tcPr>
          <w:p>
            <w:pPr>
              <w:pStyle w:val="null3"/>
              <w:jc w:val="both"/>
            </w:pPr>
            <w:r>
              <w:rPr>
                <w:rFonts w:ascii="仿宋_GB2312" w:hAnsi="仿宋_GB2312" w:cs="仿宋_GB2312" w:eastAsia="仿宋_GB2312"/>
              </w:rPr>
              <w:t>4.供货实力情况</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针对投标人的供货实力情况评分（重点考核货源渠道-养殖基地）：投标人具有养殖基地的得2分。注：（1）若属于投标人自有产权的，须同时提供基地产权证明及基地照片。（2）若投标人提供合作的基地场地，须同时提供基地场地合作合同复印件（合同期须覆盖本项目供货期）、基地照片、以及合作期中任意三笔或以上银行交易流水。（3）未按上述要求提供的或未提供者本项不得分。注：合作合同可续签，多份累计，但合同须为连续性合同。</w:t>
            </w:r>
          </w:p>
        </w:tc>
      </w:tr>
      <w:tr>
        <w:tc>
          <w:tcPr>
            <w:tcW w:type="dxa" w:w="3322"/>
          </w:tcPr>
          <w:p>
            <w:pPr>
              <w:pStyle w:val="null3"/>
              <w:jc w:val="both"/>
            </w:pPr>
            <w:r>
              <w:rPr>
                <w:rFonts w:ascii="仿宋_GB2312" w:hAnsi="仿宋_GB2312" w:cs="仿宋_GB2312" w:eastAsia="仿宋_GB2312"/>
              </w:rPr>
              <w:t>5.供货实力情况</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针对投标人的供货实力情况评分（重点考核货源渠道-种植基地）：投标人具有蔬菜种植基地的得2分。注：（1）若属于投标人自有产权的，须同时提供基地产权证明及基地照片。（2）若投标人提供合作的基地场地，须同时提供基地场地合作合同复印件（合同期须覆盖本项目供货期）、基地照片、以及合作期中任意三笔或以上银行交易流水。（3）未按上述要求提供的或未提供者本项不得分。注：合作合同可续签，多份累计，但合同须为连续性合同。</w:t>
            </w:r>
          </w:p>
        </w:tc>
      </w:tr>
      <w:tr>
        <w:tc>
          <w:tcPr>
            <w:tcW w:type="dxa" w:w="3322"/>
          </w:tcPr>
          <w:p>
            <w:pPr>
              <w:pStyle w:val="null3"/>
              <w:jc w:val="both"/>
            </w:pPr>
            <w:r>
              <w:rPr>
                <w:rFonts w:ascii="仿宋_GB2312" w:hAnsi="仿宋_GB2312" w:cs="仿宋_GB2312" w:eastAsia="仿宋_GB2312"/>
              </w:rPr>
              <w:t>6.仓储场所情况</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具有的自有产权或租赁的仓储场所面积进行评分：仓储场所面积≥500㎡的得2分，300㎡≤仓储场所面积＜500㎡的得1分。注：（1）若属于投标人自有产权的，须同时提供产权证明及场所照片。（2）若投标人提供租赁仓储场所的，须同时提供以下证明材料：①租赁合同(租赁期须覆盖整个供货期)、②场所照片。（3）未按上述要求提供的或未提供者本项不得分。</w:t>
            </w:r>
          </w:p>
        </w:tc>
      </w:tr>
      <w:tr>
        <w:tc>
          <w:tcPr>
            <w:tcW w:type="dxa" w:w="3322"/>
          </w:tcPr>
          <w:p>
            <w:pPr>
              <w:pStyle w:val="null3"/>
              <w:jc w:val="both"/>
            </w:pPr>
            <w:r>
              <w:rPr>
                <w:rFonts w:ascii="仿宋_GB2312" w:hAnsi="仿宋_GB2312" w:cs="仿宋_GB2312" w:eastAsia="仿宋_GB2312"/>
              </w:rPr>
              <w:t>7.网络商城或线上下单平台</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根据各投标人提供的拥有互联网商城或线上下单平台，支持电脑、手机等终端平台下单的得2分。（需提供历史交易数据、交易明细截图、平台相关操作说明、截图，否则不得分。）</w:t>
            </w:r>
          </w:p>
        </w:tc>
      </w:tr>
      <w:tr>
        <w:tc>
          <w:tcPr>
            <w:tcW w:type="dxa" w:w="3322"/>
          </w:tcPr>
          <w:p>
            <w:pPr>
              <w:pStyle w:val="null3"/>
              <w:jc w:val="both"/>
            </w:pPr>
            <w:r>
              <w:rPr>
                <w:rFonts w:ascii="仿宋_GB2312" w:hAnsi="仿宋_GB2312" w:cs="仿宋_GB2312" w:eastAsia="仿宋_GB2312"/>
              </w:rPr>
              <w:t>8.车辆配置情况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车辆配置（固定车辆）情况进行评分：投标人提供2辆及以上自有或租赁车辆（其中1辆必须为冷藏车）的得3分。【投标人须提供：①若车辆为投标人自有的，须同时提供车辆照片（冷藏车须提供车辆内部具有冷藏功能的证明照片）、年检有效期内的车辆行驶证复印件、车辆登记证复印件及购置发票复印件并加盖投标人公章。②若车辆为租赁的，须同时提供租赁合同（租赁期须覆盖整个供货期）、车辆照片（冷藏车须提供车辆内部具有冷藏功能的证明照片）及年检有效期内的车辆行驶证复印件并加盖投标人公章。③未按上述要求提供的或未提供者本项不得分。】注：以上固定配送车辆未经采购人同意不得随意变更。</w:t>
            </w:r>
          </w:p>
        </w:tc>
      </w:tr>
      <w:tr>
        <w:tc>
          <w:tcPr>
            <w:tcW w:type="dxa" w:w="3322"/>
          </w:tcPr>
          <w:p>
            <w:pPr>
              <w:pStyle w:val="null3"/>
              <w:jc w:val="both"/>
            </w:pPr>
            <w:r>
              <w:rPr>
                <w:rFonts w:ascii="仿宋_GB2312" w:hAnsi="仿宋_GB2312" w:cs="仿宋_GB2312" w:eastAsia="仿宋_GB2312"/>
              </w:rPr>
              <w:t>9.拟派固定人员及车辆</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需承诺该项目服务期间每次配送的固定人员（1名）未经采购人同意不得随意变更的得1分。【投标人须同时提供以下材料：①投标人需提供承诺函（格式自拟）；②固定人员身份证复印件及投标截止时间前六个月（不含投标截止时间的当月）中任一月份投标人为其缴纳社保的证明材料；③以上缺一项均不得分。】</w:t>
            </w:r>
          </w:p>
        </w:tc>
      </w:tr>
      <w:tr>
        <w:tc>
          <w:tcPr>
            <w:tcW w:type="dxa" w:w="3322"/>
          </w:tcPr>
          <w:p>
            <w:pPr>
              <w:pStyle w:val="null3"/>
              <w:jc w:val="both"/>
            </w:pPr>
            <w:r>
              <w:rPr>
                <w:rFonts w:ascii="仿宋_GB2312" w:hAnsi="仿宋_GB2312" w:cs="仿宋_GB2312" w:eastAsia="仿宋_GB2312"/>
              </w:rPr>
              <w:t>10.项目负责人</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本项目负责人具有食堂食材供应类从业经验情况进行评分，由评委进行评议：从业经验≥3年的得1分；1年≤从业经验＜3年的得0.5分；其余情况不得分。需提供项目合同复印件（若合同无法体现项目负责人的，还应提供项目采购单位出具的相关证明材料复印件予以佐证）及投标截止时间前六个月（不含投标截止时间的当月）中任一月份投标人为其缴纳社保的证明材料，否则不得分。注：项目合同可多份累计。</w:t>
            </w:r>
          </w:p>
        </w:tc>
      </w:tr>
      <w:tr>
        <w:tc>
          <w:tcPr>
            <w:tcW w:type="dxa" w:w="3322"/>
          </w:tcPr>
          <w:p>
            <w:pPr>
              <w:pStyle w:val="null3"/>
              <w:jc w:val="both"/>
            </w:pPr>
            <w:r>
              <w:rPr>
                <w:rFonts w:ascii="仿宋_GB2312" w:hAnsi="仿宋_GB2312" w:cs="仿宋_GB2312" w:eastAsia="仿宋_GB2312"/>
              </w:rPr>
              <w:t>11.特殊情况、换货和临时补货承诺</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根据投标人对采购人提出的特殊情况、换货和临时补货要求，承诺接到通知后，40分钟内（含）可以提供货物且质量无问题的得2分，超过40分钟的不得分。【投标人须提供承诺函（格式自拟），否则不得分。】</w:t>
            </w:r>
          </w:p>
        </w:tc>
      </w:tr>
      <w:tr>
        <w:tc>
          <w:tcPr>
            <w:tcW w:type="dxa" w:w="3322"/>
          </w:tcPr>
          <w:p>
            <w:pPr>
              <w:pStyle w:val="null3"/>
              <w:jc w:val="both"/>
            </w:pPr>
            <w:r>
              <w:rPr>
                <w:rFonts w:ascii="仿宋_GB2312" w:hAnsi="仿宋_GB2312" w:cs="仿宋_GB2312" w:eastAsia="仿宋_GB2312"/>
              </w:rPr>
              <w:t>12.食品安全保障能力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为本项目配备的食品检验检疫设备情况进行评分：投标人每具备其中一类食品检验检疫设备（农药残留快速检测仪、病害肉检测仪、大肠杆菌检测仪、多功能食品检测仪、甲醛检测仪、水产品药物残留检测仪合计6个类别）每提供一项得0.5分，满分3分。注：投标人须同时提供以下证明材料：（1）提供设备清单、购置发票，设备发票购买方名称须与投标人一致，且须提供在国家税务总局增值税发票查验平台上对该发票查验结果的截图。（2）上述材料提供不全或未提供者本项不得分。</w:t>
            </w:r>
          </w:p>
        </w:tc>
      </w:tr>
      <w:tr>
        <w:tc>
          <w:tcPr>
            <w:tcW w:type="dxa" w:w="3322"/>
          </w:tcPr>
          <w:p>
            <w:pPr>
              <w:pStyle w:val="null3"/>
              <w:jc w:val="both"/>
            </w:pPr>
            <w:r>
              <w:rPr>
                <w:rFonts w:ascii="仿宋_GB2312" w:hAnsi="仿宋_GB2312" w:cs="仿宋_GB2312" w:eastAsia="仿宋_GB2312"/>
              </w:rPr>
              <w:t>13.食材检测要求</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提供投标截止时间前送检食材（蔬菜类）由第三方检测机构出具合格的蔬菜类检测报告的，每提供1份得0.5分，满分1分。注：①投标人须提供检测报告及检测费用发票复印件，检验报告中送检单位须为投标人，且检测报告应带有CMA或CNAS标志。②未提供或提供不齐全的均不得分。</w:t>
            </w:r>
          </w:p>
        </w:tc>
      </w:tr>
    </w:tbl>
    <w:p>
      <w:pPr>
        <w:pStyle w:val="null3"/>
        <w:jc w:val="both"/>
      </w:pPr>
      <w:r>
        <w:rPr>
          <w:rFonts w:ascii="仿宋_GB2312" w:hAnsi="仿宋_GB2312" w:cs="仿宋_GB2312" w:eastAsia="仿宋_GB2312"/>
        </w:rPr>
        <w:t>商务项（F3×A3）满分为14.0000分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所提供的自2021年1月1日至本项目投标截止时间止（日期以合同签订的时间为准）由投标人独立完成的与本次项目类似业绩情况进行评分：每提供一份业绩得1分，满分3分。【投标人须同时提供该业绩项目的中标/成交公告（提供相关网站中标/成交公告的下载网页并注明网址）、中标/成交通知书复印件、采购合同文本复印件，以及能够证明该项业绩已经用户验收合格的相关证明文件复印件，所提供文件如不能详细看清以上内容或未提供或提供不全的不得分。】注：本项与“2.满意度服务评价意见”不重复得分。</w:t>
            </w:r>
          </w:p>
        </w:tc>
      </w:tr>
      <w:tr>
        <w:tc>
          <w:tcPr>
            <w:tcW w:type="dxa" w:w="3322"/>
          </w:tcPr>
          <w:p>
            <w:pPr>
              <w:pStyle w:val="null3"/>
              <w:jc w:val="left"/>
            </w:pPr>
            <w:r>
              <w:rPr>
                <w:rFonts w:ascii="仿宋_GB2312" w:hAnsi="仿宋_GB2312" w:cs="仿宋_GB2312" w:eastAsia="仿宋_GB2312"/>
              </w:rPr>
              <w:t>2.满意度服务评价意见</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所提供的自2021年1月1日至本项目投标截止时间止（日期以合同签订的时间为准）完成的与本次招标类似项目获得采购人的满意度服务评价意见情况进行评议：每提供一份用户评价为满意（或优秀或90分及以上等同等评价）的证明材料得1分，满分3分。【投标人须同时提供采购合同文本复印件以及加盖采购人单位公章或使用部门公章的满意度服务评价证明材料复印件，否则不得分。】注：同一采购人单位不重复计算，本项与“1.业绩”不重复得分。</w:t>
            </w:r>
          </w:p>
        </w:tc>
      </w:tr>
      <w:tr>
        <w:tc>
          <w:tcPr>
            <w:tcW w:type="dxa" w:w="3322"/>
          </w:tcPr>
          <w:p>
            <w:pPr>
              <w:pStyle w:val="null3"/>
              <w:jc w:val="left"/>
            </w:pPr>
            <w:r>
              <w:rPr>
                <w:rFonts w:ascii="仿宋_GB2312" w:hAnsi="仿宋_GB2312" w:cs="仿宋_GB2312" w:eastAsia="仿宋_GB2312"/>
              </w:rPr>
              <w:t>3.食品安全责任保险</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为保障食用安全问题，投标人承诺本项目履行采购合同前针对本项目购买食品安全责任险，且保额≥1500万元的得2分。投标人须提供承诺函（格式自拟），否则不得分。</w:t>
            </w:r>
          </w:p>
        </w:tc>
      </w:tr>
      <w:tr>
        <w:tc>
          <w:tcPr>
            <w:tcW w:type="dxa" w:w="3322"/>
          </w:tcPr>
          <w:p>
            <w:pPr>
              <w:pStyle w:val="null3"/>
              <w:jc w:val="left"/>
            </w:pPr>
            <w:r>
              <w:rPr>
                <w:rFonts w:ascii="仿宋_GB2312" w:hAnsi="仿宋_GB2312" w:cs="仿宋_GB2312" w:eastAsia="仿宋_GB2312"/>
              </w:rPr>
              <w:t>4.承诺情况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自2022年1月1日以来因商品质量、服务等问题被国家行政机关处罚（除资格条件中的重大违法记录以外）的情况进行评分：未被处罚的得3分，每处罚一起则该项不得分。投标人须提供承诺函（格式自拟）投标人须对上述承诺的真实性负责。如有虚假，将依法承担相应责任。</w:t>
            </w:r>
          </w:p>
        </w:tc>
      </w:tr>
      <w:tr>
        <w:tc>
          <w:tcPr>
            <w:tcW w:type="dxa" w:w="3322"/>
          </w:tcPr>
          <w:p>
            <w:pPr>
              <w:pStyle w:val="null3"/>
              <w:jc w:val="left"/>
            </w:pPr>
            <w:r>
              <w:rPr>
                <w:rFonts w:ascii="仿宋_GB2312" w:hAnsi="仿宋_GB2312" w:cs="仿宋_GB2312" w:eastAsia="仿宋_GB2312"/>
              </w:rPr>
              <w:t>5.售后服务方案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投标人针对本项目提供的售后服务方案【包括但不限于①售后服务承诺、服务响应方式及时间、②退换货方案、③售后服务人员配置、④售后响应计划】由评委进行评分：方案详实、完整、可操作性强且符合本项目实际情况的得3分；方案较详实、可操作性较强且基本符合本项目实际情况得2分；方案内容存在缺漏、操作性一般且基本符合服务项目实际情况的得1.5分；未提供的或提供的方案不符合要求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1"/>
        </w:rPr>
        <w:t>1.1本项目为福建省人大代表之家与福建省人民代表大会常务委员会机关食堂共同采购生活物资生鲜及副食品等食堂食材采购。</w:t>
      </w:r>
    </w:p>
    <w:p>
      <w:pPr>
        <w:pStyle w:val="null3"/>
        <w:ind w:firstLine="482"/>
        <w:jc w:val="left"/>
      </w:pPr>
      <w:r>
        <w:rPr>
          <w:rFonts w:ascii="仿宋_GB2312" w:hAnsi="仿宋_GB2312" w:cs="仿宋_GB2312" w:eastAsia="仿宋_GB2312"/>
          <w:sz w:val="21"/>
        </w:rPr>
        <w:t>1.2投标人提供的产品必须符合《中华人民共和国食品安全法》、《中华人民共和国农产品质量安全法》、《中华人民共和国产品质量法》及国家行业标准的有关规定。投标人应按照国家和地方有关食品卫生、质量的相关规定按时保质保量向采购人提供本文件下所招标的所有食品，确保食品不过期、不变质、不添加任何对人体有害的化学添加剂。投标人按照市场监督管理部门规定的“一品一码”要求，做到食品采购信息可追溯。</w:t>
      </w:r>
    </w:p>
    <w:p>
      <w:pPr>
        <w:pStyle w:val="null3"/>
        <w:ind w:firstLine="482"/>
        <w:jc w:val="left"/>
      </w:pPr>
      <w:r>
        <w:rPr>
          <w:rFonts w:ascii="仿宋_GB2312" w:hAnsi="仿宋_GB2312" w:cs="仿宋_GB2312" w:eastAsia="仿宋_GB2312"/>
          <w:sz w:val="21"/>
        </w:rPr>
        <w:t>1.3风险提示：在合同期内采购人若存在筹备期或装修期等因素，造成采购人无法向投标人招标的风险。采购人不对供货量做承诺，因协商未果未及时签约或签约不成或签约后履行期间不顺均属风险，均属投标人自担风险。</w:t>
      </w:r>
    </w:p>
    <w:p>
      <w:pPr>
        <w:pStyle w:val="null3"/>
        <w:ind w:firstLine="482"/>
        <w:jc w:val="left"/>
      </w:pPr>
      <w:r>
        <w:rPr>
          <w:rFonts w:ascii="仿宋_GB2312" w:hAnsi="仿宋_GB2312" w:cs="仿宋_GB2312" w:eastAsia="仿宋_GB2312"/>
          <w:sz w:val="21"/>
        </w:rPr>
        <w:t>1.4供货期：合同签订之日起1年。</w:t>
      </w:r>
    </w:p>
    <w:p>
      <w:pPr>
        <w:pStyle w:val="null3"/>
        <w:ind w:firstLine="482"/>
        <w:jc w:val="left"/>
      </w:pPr>
      <w:r>
        <w:rPr>
          <w:rFonts w:ascii="仿宋_GB2312" w:hAnsi="仿宋_GB2312" w:cs="仿宋_GB2312" w:eastAsia="仿宋_GB2312"/>
          <w:sz w:val="21"/>
        </w:rPr>
        <w:t>1.5采购人平均每周有3-4次补货需求，如有特殊情况、换货和临时补货,中标人在接到采购人供货通知后于1小时内，按采购人通知的品种、数量、规格等需求送达。中标人负责食材的装卸和运输，所需费用由中标人承担。（具体事项以采购人通知为准。）</w:t>
      </w:r>
    </w:p>
    <w:p>
      <w:pPr>
        <w:pStyle w:val="null3"/>
        <w:ind w:firstLine="482"/>
        <w:jc w:val="both"/>
      </w:pPr>
      <w:r>
        <w:rPr>
          <w:rFonts w:ascii="仿宋_GB2312" w:hAnsi="仿宋_GB2312" w:cs="仿宋_GB2312" w:eastAsia="仿宋_GB2312"/>
          <w:sz w:val="21"/>
        </w:rPr>
        <w:t>1.6如有特殊采购需求即中标人无法提供货物或提供的货物无法满足采购人要求的或因价格因素不满足采购人要求的，采购人有权自行采购。中标人中标以后对于无法提供货物，中标人需向采购人提供书面证明材料。</w:t>
      </w:r>
    </w:p>
    <w:p>
      <w:pPr>
        <w:pStyle w:val="null3"/>
        <w:ind w:firstLine="482"/>
        <w:jc w:val="both"/>
      </w:pPr>
      <w:r>
        <w:rPr>
          <w:rFonts w:ascii="仿宋_GB2312" w:hAnsi="仿宋_GB2312" w:cs="仿宋_GB2312" w:eastAsia="仿宋_GB2312"/>
          <w:sz w:val="21"/>
          <w:b/>
        </w:rPr>
        <w:t>1.7本项目采用“折扣”形式进行报价。因电子后台无法填写投标折扣，只能填写金额，因此电子投标后台中填写折扣后的投标报价，作为折扣的换算依据。[例如：本项目合同包系统预算价180万元，如折扣为0.96，投标报价=预算总价*折扣，即折扣后投标报价为172.8万元，并在政府采购网上公开信息系统报价部分录入合计：172.8万元，（计算过程保留小数点后两位数）]。本项目投标报价金额非实际合同价格，不作结算依据，不作签定合同的实际采购金额，仅作为本项目的价格评审，仅作为中标折扣计算使用，采购人按中标折扣进行结算，根据实际需求进行采购，按实际结算为准。本项目预算总额仅为预估采购金额，实际采购金额以实际供货量为准。本项目结算总金额不超过人民币壹佰捌拾万元整（￥1800000.00）；若在一年供货期内采购人的采购订单总金额已达人民币壹佰捌拾万元整（￥1800000.00），则采购合同自动终止。</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0"/>
          <w:b/>
        </w:rPr>
        <w:t>★（一）、定价标准</w:t>
      </w:r>
    </w:p>
    <w:p>
      <w:pPr>
        <w:pStyle w:val="null3"/>
        <w:ind w:firstLine="465"/>
        <w:jc w:val="both"/>
      </w:pPr>
      <w:r>
        <w:rPr>
          <w:rFonts w:ascii="仿宋_GB2312" w:hAnsi="仿宋_GB2312" w:cs="仿宋_GB2312" w:eastAsia="仿宋_GB2312"/>
          <w:sz w:val="20"/>
        </w:rPr>
        <w:t>1.物资清单</w:t>
      </w:r>
    </w:p>
    <w:p>
      <w:pPr>
        <w:pStyle w:val="null3"/>
        <w:ind w:firstLine="465"/>
        <w:jc w:val="left"/>
      </w:pPr>
      <w:r>
        <w:rPr>
          <w:rFonts w:ascii="仿宋_GB2312" w:hAnsi="仿宋_GB2312" w:cs="仿宋_GB2312" w:eastAsia="仿宋_GB2312"/>
          <w:sz w:val="20"/>
        </w:rPr>
        <w:t>（</w:t>
      </w:r>
      <w:r>
        <w:rPr>
          <w:rFonts w:ascii="仿宋_GB2312" w:hAnsi="仿宋_GB2312" w:cs="仿宋_GB2312" w:eastAsia="仿宋_GB2312"/>
          <w:sz w:val="20"/>
        </w:rPr>
        <w:t>1）肉、禽蛋、水果、蔬菜、豆制品、奶制品、冷冻制品、水产品、海鲜品等；</w:t>
      </w:r>
    </w:p>
    <w:p>
      <w:pPr>
        <w:pStyle w:val="null3"/>
        <w:ind w:firstLine="465"/>
        <w:jc w:val="left"/>
      </w:pPr>
      <w:r>
        <w:rPr>
          <w:rFonts w:ascii="仿宋_GB2312" w:hAnsi="仿宋_GB2312" w:cs="仿宋_GB2312" w:eastAsia="仿宋_GB2312"/>
          <w:sz w:val="20"/>
        </w:rPr>
        <w:t>（</w:t>
      </w:r>
      <w:r>
        <w:rPr>
          <w:rFonts w:ascii="仿宋_GB2312" w:hAnsi="仿宋_GB2312" w:cs="仿宋_GB2312" w:eastAsia="仿宋_GB2312"/>
          <w:sz w:val="20"/>
        </w:rPr>
        <w:t>2）面粉、谷类杂粮、豆类杂粮、调味品、烘焙材料等；</w:t>
      </w:r>
    </w:p>
    <w:p>
      <w:pPr>
        <w:pStyle w:val="null3"/>
        <w:ind w:firstLine="465"/>
        <w:jc w:val="left"/>
      </w:pPr>
      <w:r>
        <w:rPr>
          <w:rFonts w:ascii="仿宋_GB2312" w:hAnsi="仿宋_GB2312" w:cs="仿宋_GB2312" w:eastAsia="仿宋_GB2312"/>
          <w:sz w:val="20"/>
        </w:rPr>
        <w:t>（</w:t>
      </w:r>
      <w:r>
        <w:rPr>
          <w:rFonts w:ascii="仿宋_GB2312" w:hAnsi="仿宋_GB2312" w:cs="仿宋_GB2312" w:eastAsia="仿宋_GB2312"/>
          <w:sz w:val="20"/>
        </w:rPr>
        <w:t>3）其他食材半成品等；</w:t>
      </w:r>
    </w:p>
    <w:p>
      <w:pPr>
        <w:pStyle w:val="null3"/>
        <w:ind w:firstLine="465"/>
        <w:jc w:val="left"/>
      </w:pPr>
      <w:r>
        <w:rPr>
          <w:rFonts w:ascii="仿宋_GB2312" w:hAnsi="仿宋_GB2312" w:cs="仿宋_GB2312" w:eastAsia="仿宋_GB2312"/>
          <w:sz w:val="20"/>
        </w:rPr>
        <w:t>（</w:t>
      </w:r>
      <w:r>
        <w:rPr>
          <w:rFonts w:ascii="仿宋_GB2312" w:hAnsi="仿宋_GB2312" w:cs="仿宋_GB2312" w:eastAsia="仿宋_GB2312"/>
          <w:sz w:val="20"/>
        </w:rPr>
        <w:t>4）餐厅厨房日用品、客房物资等。</w:t>
      </w:r>
    </w:p>
    <w:p>
      <w:pPr>
        <w:pStyle w:val="null3"/>
        <w:ind w:firstLine="465"/>
        <w:jc w:val="left"/>
      </w:pPr>
      <w:r>
        <w:rPr>
          <w:rFonts w:ascii="仿宋_GB2312" w:hAnsi="仿宋_GB2312" w:cs="仿宋_GB2312" w:eastAsia="仿宋_GB2312"/>
          <w:sz w:val="20"/>
        </w:rPr>
        <w:t>2.1若</w:t>
      </w:r>
      <w:r>
        <w:rPr>
          <w:rFonts w:ascii="仿宋_GB2312" w:hAnsi="仿宋_GB2312" w:cs="仿宋_GB2312" w:eastAsia="仿宋_GB2312"/>
          <w:sz w:val="20"/>
        </w:rPr>
        <w:t>采购人</w:t>
      </w:r>
      <w:r>
        <w:rPr>
          <w:rFonts w:ascii="仿宋_GB2312" w:hAnsi="仿宋_GB2312" w:cs="仿宋_GB2312" w:eastAsia="仿宋_GB2312"/>
          <w:sz w:val="20"/>
        </w:rPr>
        <w:t>因经营原因需进行紧急补货时，</w:t>
      </w:r>
      <w:r>
        <w:rPr>
          <w:rFonts w:ascii="仿宋_GB2312" w:hAnsi="仿宋_GB2312" w:cs="仿宋_GB2312" w:eastAsia="仿宋_GB2312"/>
          <w:sz w:val="20"/>
        </w:rPr>
        <w:t>投标人具有线上下单平台，可供采购人线上下单，</w:t>
      </w:r>
      <w:r>
        <w:rPr>
          <w:rFonts w:ascii="仿宋_GB2312" w:hAnsi="仿宋_GB2312" w:cs="仿宋_GB2312" w:eastAsia="仿宋_GB2312"/>
          <w:sz w:val="20"/>
        </w:rPr>
        <w:t>投标人需在规定时间内配合</w:t>
      </w:r>
      <w:r>
        <w:rPr>
          <w:rFonts w:ascii="仿宋_GB2312" w:hAnsi="仿宋_GB2312" w:cs="仿宋_GB2312" w:eastAsia="仿宋_GB2312"/>
          <w:sz w:val="20"/>
        </w:rPr>
        <w:t>采购人</w:t>
      </w:r>
      <w:r>
        <w:rPr>
          <w:rFonts w:ascii="仿宋_GB2312" w:hAnsi="仿宋_GB2312" w:cs="仿宋_GB2312" w:eastAsia="仿宋_GB2312"/>
          <w:sz w:val="20"/>
        </w:rPr>
        <w:t>并及时供货。</w:t>
      </w:r>
    </w:p>
    <w:p>
      <w:pPr>
        <w:pStyle w:val="null3"/>
        <w:ind w:firstLine="465"/>
        <w:jc w:val="left"/>
      </w:pPr>
      <w:r>
        <w:rPr>
          <w:rFonts w:ascii="仿宋_GB2312" w:hAnsi="仿宋_GB2312" w:cs="仿宋_GB2312" w:eastAsia="仿宋_GB2312"/>
          <w:sz w:val="20"/>
        </w:rPr>
        <w:t>2.2每期均以</w:t>
      </w:r>
      <w:r>
        <w:rPr>
          <w:rFonts w:ascii="仿宋_GB2312" w:hAnsi="仿宋_GB2312" w:cs="仿宋_GB2312" w:eastAsia="仿宋_GB2312"/>
          <w:sz w:val="20"/>
        </w:rPr>
        <w:t>采购人</w:t>
      </w:r>
      <w:r>
        <w:rPr>
          <w:rFonts w:ascii="仿宋_GB2312" w:hAnsi="仿宋_GB2312" w:cs="仿宋_GB2312" w:eastAsia="仿宋_GB2312"/>
          <w:sz w:val="20"/>
        </w:rPr>
        <w:t>的市场基准价为指导，以</w:t>
      </w:r>
      <w:r>
        <w:rPr>
          <w:rFonts w:ascii="仿宋_GB2312" w:hAnsi="仿宋_GB2312" w:cs="仿宋_GB2312" w:eastAsia="仿宋_GB2312"/>
          <w:sz w:val="20"/>
        </w:rPr>
        <w:t>采购人</w:t>
      </w:r>
      <w:r>
        <w:rPr>
          <w:rFonts w:ascii="仿宋_GB2312" w:hAnsi="仿宋_GB2312" w:cs="仿宋_GB2312" w:eastAsia="仿宋_GB2312"/>
          <w:sz w:val="20"/>
        </w:rPr>
        <w:t>市场基准价</w:t>
      </w:r>
      <w:r>
        <w:rPr>
          <w:rFonts w:ascii="仿宋_GB2312" w:hAnsi="仿宋_GB2312" w:cs="仿宋_GB2312" w:eastAsia="仿宋_GB2312"/>
          <w:sz w:val="20"/>
        </w:rPr>
        <w:t>×中标折扣供货。中标人必须提供增值税普通发票和货物清单。</w:t>
      </w:r>
    </w:p>
    <w:p>
      <w:pPr>
        <w:pStyle w:val="null3"/>
        <w:ind w:firstLine="480"/>
        <w:jc w:val="both"/>
      </w:pPr>
      <w:r>
        <w:rPr>
          <w:rFonts w:ascii="仿宋_GB2312" w:hAnsi="仿宋_GB2312" w:cs="仿宋_GB2312" w:eastAsia="仿宋_GB2312"/>
          <w:sz w:val="20"/>
        </w:rPr>
        <w:t>2.2.1中标人须每周一提供上周日①永辉超市、②新华都、③沃尔玛平价货物实时货架的价格作为</w:t>
      </w:r>
      <w:r>
        <w:rPr>
          <w:rFonts w:ascii="仿宋_GB2312" w:hAnsi="仿宋_GB2312" w:cs="仿宋_GB2312" w:eastAsia="仿宋_GB2312"/>
          <w:sz w:val="20"/>
        </w:rPr>
        <w:t>采购人</w:t>
      </w:r>
      <w:r>
        <w:rPr>
          <w:rFonts w:ascii="仿宋_GB2312" w:hAnsi="仿宋_GB2312" w:cs="仿宋_GB2312" w:eastAsia="仿宋_GB2312"/>
          <w:sz w:val="20"/>
        </w:rPr>
        <w:t>参考的本周市场基准价</w:t>
      </w:r>
      <w:r>
        <w:rPr>
          <w:rFonts w:ascii="仿宋_GB2312" w:hAnsi="仿宋_GB2312" w:cs="仿宋_GB2312" w:eastAsia="仿宋_GB2312"/>
          <w:sz w:val="20"/>
          <w:b/>
        </w:rPr>
        <w:t>（本周市场基准价：首选永辉超市，其次新华都，再者沃尔玛，按序号顺序）</w:t>
      </w:r>
      <w:r>
        <w:rPr>
          <w:rFonts w:ascii="仿宋_GB2312" w:hAnsi="仿宋_GB2312" w:cs="仿宋_GB2312" w:eastAsia="仿宋_GB2312"/>
          <w:sz w:val="20"/>
        </w:rPr>
        <w:t>。时令货物价格波动大的，以前一天的时令价作为</w:t>
      </w:r>
      <w:r>
        <w:rPr>
          <w:rFonts w:ascii="仿宋_GB2312" w:hAnsi="仿宋_GB2312" w:cs="仿宋_GB2312" w:eastAsia="仿宋_GB2312"/>
          <w:sz w:val="20"/>
        </w:rPr>
        <w:t>采购人</w:t>
      </w:r>
      <w:r>
        <w:rPr>
          <w:rFonts w:ascii="仿宋_GB2312" w:hAnsi="仿宋_GB2312" w:cs="仿宋_GB2312" w:eastAsia="仿宋_GB2312"/>
          <w:sz w:val="20"/>
        </w:rPr>
        <w:t>参考的本周市场基准价，若上述超市等无</w:t>
      </w:r>
      <w:r>
        <w:rPr>
          <w:rFonts w:ascii="仿宋_GB2312" w:hAnsi="仿宋_GB2312" w:cs="仿宋_GB2312" w:eastAsia="仿宋_GB2312"/>
          <w:sz w:val="20"/>
        </w:rPr>
        <w:t>采购人</w:t>
      </w:r>
      <w:r>
        <w:rPr>
          <w:rFonts w:ascii="仿宋_GB2312" w:hAnsi="仿宋_GB2312" w:cs="仿宋_GB2312" w:eastAsia="仿宋_GB2312"/>
          <w:sz w:val="20"/>
        </w:rPr>
        <w:t>所需的货物或货物品质和规格等</w:t>
      </w:r>
      <w:r>
        <w:rPr>
          <w:rFonts w:ascii="仿宋_GB2312" w:hAnsi="仿宋_GB2312" w:cs="仿宋_GB2312" w:eastAsia="仿宋_GB2312"/>
          <w:sz w:val="20"/>
        </w:rPr>
        <w:t>采购人</w:t>
      </w:r>
      <w:r>
        <w:rPr>
          <w:rFonts w:ascii="仿宋_GB2312" w:hAnsi="仿宋_GB2312" w:cs="仿宋_GB2312" w:eastAsia="仿宋_GB2312"/>
          <w:sz w:val="20"/>
        </w:rPr>
        <w:t>认为无法达到</w:t>
      </w:r>
      <w:r>
        <w:rPr>
          <w:rFonts w:ascii="仿宋_GB2312" w:hAnsi="仿宋_GB2312" w:cs="仿宋_GB2312" w:eastAsia="仿宋_GB2312"/>
          <w:sz w:val="20"/>
        </w:rPr>
        <w:t>采购人</w:t>
      </w:r>
      <w:r>
        <w:rPr>
          <w:rFonts w:ascii="仿宋_GB2312" w:hAnsi="仿宋_GB2312" w:cs="仿宋_GB2312" w:eastAsia="仿宋_GB2312"/>
          <w:sz w:val="20"/>
        </w:rPr>
        <w:t>需求时，则以</w:t>
      </w:r>
      <w:r>
        <w:rPr>
          <w:rFonts w:ascii="仿宋_GB2312" w:hAnsi="仿宋_GB2312" w:cs="仿宋_GB2312" w:eastAsia="仿宋_GB2312"/>
          <w:sz w:val="20"/>
        </w:rPr>
        <w:t>“福州榕粮网http://www.fzgrain.com”、“福州发改委网http://fgw.fuzhou.gov.cn/”网上公布的价格为当期市场基准价（含增值税普通发票）。每周临时性补货需求的物资价格存在分歧的，以采购人近期内市场询价</w:t>
      </w:r>
      <w:r>
        <w:rPr>
          <w:rFonts w:ascii="仿宋_GB2312" w:hAnsi="仿宋_GB2312" w:cs="仿宋_GB2312" w:eastAsia="仿宋_GB2312"/>
          <w:sz w:val="20"/>
        </w:rPr>
        <w:t>或线上平台价格（永辉生活、朴朴、淘宝）</w:t>
      </w:r>
      <w:r>
        <w:rPr>
          <w:rFonts w:ascii="仿宋_GB2312" w:hAnsi="仿宋_GB2312" w:cs="仿宋_GB2312" w:eastAsia="仿宋_GB2312"/>
          <w:sz w:val="20"/>
        </w:rPr>
        <w:t>为准，并由</w:t>
      </w:r>
      <w:r>
        <w:rPr>
          <w:rFonts w:ascii="仿宋_GB2312" w:hAnsi="仿宋_GB2312" w:cs="仿宋_GB2312" w:eastAsia="仿宋_GB2312"/>
          <w:sz w:val="20"/>
        </w:rPr>
        <w:t>福建省人民代表大会常务委员会机关食堂</w:t>
      </w:r>
      <w:r>
        <w:rPr>
          <w:rFonts w:ascii="仿宋_GB2312" w:hAnsi="仿宋_GB2312" w:cs="仿宋_GB2312" w:eastAsia="仿宋_GB2312"/>
          <w:sz w:val="20"/>
        </w:rPr>
        <w:t>最终定价。</w:t>
      </w:r>
    </w:p>
    <w:p>
      <w:pPr>
        <w:pStyle w:val="null3"/>
        <w:ind w:firstLine="465"/>
        <w:jc w:val="left"/>
      </w:pPr>
      <w:r>
        <w:rPr>
          <w:rFonts w:ascii="仿宋_GB2312" w:hAnsi="仿宋_GB2312" w:cs="仿宋_GB2312" w:eastAsia="仿宋_GB2312"/>
          <w:sz w:val="20"/>
        </w:rPr>
        <w:t>2.2.2如双方无法对当期的市场基准价达成共识或存在理解分歧的，以</w:t>
      </w:r>
      <w:r>
        <w:rPr>
          <w:rFonts w:ascii="仿宋_GB2312" w:hAnsi="仿宋_GB2312" w:cs="仿宋_GB2312" w:eastAsia="仿宋_GB2312"/>
          <w:sz w:val="20"/>
        </w:rPr>
        <w:t>采购人</w:t>
      </w:r>
      <w:r>
        <w:rPr>
          <w:rFonts w:ascii="仿宋_GB2312" w:hAnsi="仿宋_GB2312" w:cs="仿宋_GB2312" w:eastAsia="仿宋_GB2312"/>
          <w:sz w:val="20"/>
        </w:rPr>
        <w:t>的市场询价（含增值税普通发票）</w:t>
      </w:r>
      <w:r>
        <w:rPr>
          <w:rFonts w:ascii="仿宋_GB2312" w:hAnsi="仿宋_GB2312" w:cs="仿宋_GB2312" w:eastAsia="仿宋_GB2312"/>
          <w:sz w:val="20"/>
        </w:rPr>
        <w:t>或线上平台价格（永辉生活、朴朴、淘宝）</w:t>
      </w:r>
      <w:r>
        <w:rPr>
          <w:rFonts w:ascii="仿宋_GB2312" w:hAnsi="仿宋_GB2312" w:cs="仿宋_GB2312" w:eastAsia="仿宋_GB2312"/>
          <w:sz w:val="20"/>
        </w:rPr>
        <w:t>为准，并由</w:t>
      </w:r>
      <w:r>
        <w:rPr>
          <w:rFonts w:ascii="仿宋_GB2312" w:hAnsi="仿宋_GB2312" w:cs="仿宋_GB2312" w:eastAsia="仿宋_GB2312"/>
          <w:sz w:val="20"/>
        </w:rPr>
        <w:t>福建省人民代表大会常务委员会机关食堂</w:t>
      </w:r>
      <w:r>
        <w:rPr>
          <w:rFonts w:ascii="仿宋_GB2312" w:hAnsi="仿宋_GB2312" w:cs="仿宋_GB2312" w:eastAsia="仿宋_GB2312"/>
          <w:sz w:val="20"/>
        </w:rPr>
        <w:t>统一定价。</w:t>
      </w:r>
    </w:p>
    <w:p>
      <w:pPr>
        <w:pStyle w:val="null3"/>
        <w:ind w:firstLine="480"/>
        <w:jc w:val="left"/>
      </w:pPr>
      <w:r>
        <w:rPr>
          <w:rFonts w:ascii="仿宋_GB2312" w:hAnsi="仿宋_GB2312" w:cs="仿宋_GB2312" w:eastAsia="仿宋_GB2312"/>
          <w:sz w:val="20"/>
        </w:rPr>
        <w:t>2.2.3如合同履行过程中，</w:t>
      </w:r>
      <w:r>
        <w:rPr>
          <w:rFonts w:ascii="仿宋_GB2312" w:hAnsi="仿宋_GB2312" w:cs="仿宋_GB2312" w:eastAsia="仿宋_GB2312"/>
          <w:sz w:val="20"/>
        </w:rPr>
        <w:t>采购人</w:t>
      </w:r>
      <w:r>
        <w:rPr>
          <w:rFonts w:ascii="仿宋_GB2312" w:hAnsi="仿宋_GB2312" w:cs="仿宋_GB2312" w:eastAsia="仿宋_GB2312"/>
          <w:sz w:val="20"/>
        </w:rPr>
        <w:t>与中标人对招标的货物定价存在异议并持续</w:t>
      </w:r>
      <w:r>
        <w:rPr>
          <w:rFonts w:ascii="仿宋_GB2312" w:hAnsi="仿宋_GB2312" w:cs="仿宋_GB2312" w:eastAsia="仿宋_GB2312"/>
          <w:sz w:val="20"/>
        </w:rPr>
        <w:t>15</w:t>
      </w:r>
      <w:r>
        <w:rPr>
          <w:rFonts w:ascii="仿宋_GB2312" w:hAnsi="仿宋_GB2312" w:cs="仿宋_GB2312" w:eastAsia="仿宋_GB2312"/>
          <w:sz w:val="20"/>
        </w:rPr>
        <w:t>天以上仍无法达成共识，</w:t>
      </w:r>
      <w:r>
        <w:rPr>
          <w:rFonts w:ascii="仿宋_GB2312" w:hAnsi="仿宋_GB2312" w:cs="仿宋_GB2312" w:eastAsia="仿宋_GB2312"/>
          <w:sz w:val="20"/>
        </w:rPr>
        <w:t>采购人</w:t>
      </w:r>
      <w:r>
        <w:rPr>
          <w:rFonts w:ascii="仿宋_GB2312" w:hAnsi="仿宋_GB2312" w:cs="仿宋_GB2312" w:eastAsia="仿宋_GB2312"/>
          <w:sz w:val="20"/>
        </w:rPr>
        <w:t>有权无条件提前终止（解除）合同，不计违约、赔偿。如上述定价异议系属中标人过错或不合理主张导致的，视为中标人的严重违约行为，</w:t>
      </w:r>
      <w:r>
        <w:rPr>
          <w:rFonts w:ascii="仿宋_GB2312" w:hAnsi="仿宋_GB2312" w:cs="仿宋_GB2312" w:eastAsia="仿宋_GB2312"/>
          <w:sz w:val="20"/>
        </w:rPr>
        <w:t>采购人</w:t>
      </w:r>
      <w:r>
        <w:rPr>
          <w:rFonts w:ascii="仿宋_GB2312" w:hAnsi="仿宋_GB2312" w:cs="仿宋_GB2312" w:eastAsia="仿宋_GB2312"/>
          <w:sz w:val="20"/>
        </w:rPr>
        <w:t>有权视情节要求中标人承担相关的赔偿责任、赔偿</w:t>
      </w:r>
      <w:r>
        <w:rPr>
          <w:rFonts w:ascii="仿宋_GB2312" w:hAnsi="仿宋_GB2312" w:cs="仿宋_GB2312" w:eastAsia="仿宋_GB2312"/>
          <w:sz w:val="20"/>
        </w:rPr>
        <w:t>采购人</w:t>
      </w:r>
      <w:r>
        <w:rPr>
          <w:rFonts w:ascii="仿宋_GB2312" w:hAnsi="仿宋_GB2312" w:cs="仿宋_GB2312" w:eastAsia="仿宋_GB2312"/>
          <w:sz w:val="20"/>
        </w:rPr>
        <w:t>相关经济损失。</w:t>
      </w:r>
    </w:p>
    <w:p>
      <w:pPr>
        <w:pStyle w:val="null3"/>
        <w:ind w:firstLine="480"/>
        <w:jc w:val="left"/>
      </w:pPr>
      <w:r>
        <w:rPr>
          <w:rFonts w:ascii="仿宋_GB2312" w:hAnsi="仿宋_GB2312" w:cs="仿宋_GB2312" w:eastAsia="仿宋_GB2312"/>
          <w:sz w:val="20"/>
        </w:rPr>
        <w:t>2.2.4中标人未能依约、及时、全面响应</w:t>
      </w:r>
      <w:r>
        <w:rPr>
          <w:rFonts w:ascii="仿宋_GB2312" w:hAnsi="仿宋_GB2312" w:cs="仿宋_GB2312" w:eastAsia="仿宋_GB2312"/>
          <w:sz w:val="20"/>
        </w:rPr>
        <w:t>采购人</w:t>
      </w:r>
      <w:r>
        <w:rPr>
          <w:rFonts w:ascii="仿宋_GB2312" w:hAnsi="仿宋_GB2312" w:cs="仿宋_GB2312" w:eastAsia="仿宋_GB2312"/>
          <w:sz w:val="20"/>
        </w:rPr>
        <w:t>的招标需求或双方定价发生分歧期间，</w:t>
      </w:r>
      <w:r>
        <w:rPr>
          <w:rFonts w:ascii="仿宋_GB2312" w:hAnsi="仿宋_GB2312" w:cs="仿宋_GB2312" w:eastAsia="仿宋_GB2312"/>
          <w:sz w:val="20"/>
        </w:rPr>
        <w:t>采购人</w:t>
      </w:r>
      <w:r>
        <w:rPr>
          <w:rFonts w:ascii="仿宋_GB2312" w:hAnsi="仿宋_GB2312" w:cs="仿宋_GB2312" w:eastAsia="仿宋_GB2312"/>
          <w:sz w:val="20"/>
        </w:rPr>
        <w:t>有权向第三方另行招标，同时保留另行追究中标人违约责任、经济赔偿之权利。</w:t>
      </w:r>
    </w:p>
    <w:p>
      <w:pPr>
        <w:pStyle w:val="null3"/>
        <w:ind w:firstLine="480"/>
        <w:jc w:val="left"/>
      </w:pPr>
      <w:r>
        <w:rPr>
          <w:rFonts w:ascii="仿宋_GB2312" w:hAnsi="仿宋_GB2312" w:cs="仿宋_GB2312" w:eastAsia="仿宋_GB2312"/>
          <w:sz w:val="20"/>
        </w:rPr>
        <w:t>2.2.5中标人的供货价格包括货物的包装、运输（至</w:t>
      </w:r>
      <w:r>
        <w:rPr>
          <w:rFonts w:ascii="仿宋_GB2312" w:hAnsi="仿宋_GB2312" w:cs="仿宋_GB2312" w:eastAsia="仿宋_GB2312"/>
          <w:sz w:val="20"/>
        </w:rPr>
        <w:t>采购人</w:t>
      </w:r>
      <w:r>
        <w:rPr>
          <w:rFonts w:ascii="仿宋_GB2312" w:hAnsi="仿宋_GB2312" w:cs="仿宋_GB2312" w:eastAsia="仿宋_GB2312"/>
          <w:sz w:val="20"/>
        </w:rPr>
        <w:t>指定供货地点）、装卸、保险、验收、检验检疫、利润、税金等一切费用。</w:t>
      </w:r>
    </w:p>
    <w:p>
      <w:pPr>
        <w:pStyle w:val="null3"/>
        <w:jc w:val="left"/>
      </w:pPr>
      <w:r>
        <w:rPr>
          <w:rFonts w:ascii="仿宋_GB2312" w:hAnsi="仿宋_GB2312" w:cs="仿宋_GB2312" w:eastAsia="仿宋_GB2312"/>
          <w:sz w:val="20"/>
          <w:b/>
        </w:rPr>
        <w:t>★（二）、车辆管理</w:t>
      </w:r>
    </w:p>
    <w:p>
      <w:pPr>
        <w:pStyle w:val="null3"/>
        <w:ind w:firstLine="465"/>
        <w:jc w:val="both"/>
      </w:pPr>
      <w:r>
        <w:rPr>
          <w:rFonts w:ascii="仿宋_GB2312" w:hAnsi="仿宋_GB2312" w:cs="仿宋_GB2312" w:eastAsia="仿宋_GB2312"/>
          <w:sz w:val="20"/>
        </w:rPr>
        <w:t>1、中标人须派固定车辆和司机负责配送，货物装卸由中标人负责。</w:t>
      </w:r>
    </w:p>
    <w:p>
      <w:pPr>
        <w:pStyle w:val="null3"/>
        <w:ind w:firstLine="465"/>
        <w:jc w:val="both"/>
      </w:pPr>
      <w:r>
        <w:rPr>
          <w:rFonts w:ascii="仿宋_GB2312" w:hAnsi="仿宋_GB2312" w:cs="仿宋_GB2312" w:eastAsia="仿宋_GB2312"/>
          <w:sz w:val="20"/>
        </w:rPr>
        <w:t>2、中标人应负责将招标的物资，在规定的时间内运至</w:t>
      </w:r>
      <w:r>
        <w:rPr>
          <w:rFonts w:ascii="仿宋_GB2312" w:hAnsi="仿宋_GB2312" w:cs="仿宋_GB2312" w:eastAsia="仿宋_GB2312"/>
          <w:sz w:val="20"/>
        </w:rPr>
        <w:t>采购人</w:t>
      </w:r>
      <w:r>
        <w:rPr>
          <w:rFonts w:ascii="仿宋_GB2312" w:hAnsi="仿宋_GB2312" w:cs="仿宋_GB2312" w:eastAsia="仿宋_GB2312"/>
          <w:sz w:val="20"/>
        </w:rPr>
        <w:t>指定地点。</w:t>
      </w:r>
    </w:p>
    <w:p>
      <w:pPr>
        <w:pStyle w:val="null3"/>
        <w:ind w:firstLine="465"/>
        <w:jc w:val="both"/>
      </w:pPr>
      <w:r>
        <w:rPr>
          <w:rFonts w:ascii="仿宋_GB2312" w:hAnsi="仿宋_GB2312" w:cs="仿宋_GB2312" w:eastAsia="仿宋_GB2312"/>
          <w:sz w:val="20"/>
        </w:rPr>
        <w:t>3、中标人应安排专人专车运送,每日8:00前将所需食材送达</w:t>
      </w:r>
      <w:r>
        <w:rPr>
          <w:rFonts w:ascii="仿宋_GB2312" w:hAnsi="仿宋_GB2312" w:cs="仿宋_GB2312" w:eastAsia="仿宋_GB2312"/>
          <w:sz w:val="20"/>
        </w:rPr>
        <w:t>采购人</w:t>
      </w:r>
      <w:r>
        <w:rPr>
          <w:rFonts w:ascii="仿宋_GB2312" w:hAnsi="仿宋_GB2312" w:cs="仿宋_GB2312" w:eastAsia="仿宋_GB2312"/>
          <w:sz w:val="20"/>
        </w:rPr>
        <w:t>指定地点，需冷藏运输食材须采用冷链配送车辆配送；如</w:t>
      </w:r>
      <w:r>
        <w:rPr>
          <w:rFonts w:ascii="仿宋_GB2312" w:hAnsi="仿宋_GB2312" w:cs="仿宋_GB2312" w:eastAsia="仿宋_GB2312"/>
          <w:sz w:val="20"/>
        </w:rPr>
        <w:t>采购人</w:t>
      </w:r>
      <w:r>
        <w:rPr>
          <w:rFonts w:ascii="仿宋_GB2312" w:hAnsi="仿宋_GB2312" w:cs="仿宋_GB2312" w:eastAsia="仿宋_GB2312"/>
          <w:sz w:val="20"/>
        </w:rPr>
        <w:t>根据特殊情况需调整配送时间，必须按</w:t>
      </w:r>
      <w:r>
        <w:rPr>
          <w:rFonts w:ascii="仿宋_GB2312" w:hAnsi="仿宋_GB2312" w:cs="仿宋_GB2312" w:eastAsia="仿宋_GB2312"/>
          <w:sz w:val="20"/>
        </w:rPr>
        <w:t>采购人</w:t>
      </w:r>
      <w:r>
        <w:rPr>
          <w:rFonts w:ascii="仿宋_GB2312" w:hAnsi="仿宋_GB2312" w:cs="仿宋_GB2312" w:eastAsia="仿宋_GB2312"/>
          <w:sz w:val="20"/>
        </w:rPr>
        <w:t>指定时间送达物资。</w:t>
      </w:r>
    </w:p>
    <w:p>
      <w:pPr>
        <w:pStyle w:val="null3"/>
        <w:jc w:val="left"/>
      </w:pPr>
      <w:r>
        <w:rPr>
          <w:rFonts w:ascii="仿宋_GB2312" w:hAnsi="仿宋_GB2312" w:cs="仿宋_GB2312" w:eastAsia="仿宋_GB2312"/>
          <w:sz w:val="20"/>
          <w:b/>
        </w:rPr>
        <w:t>★（三）、供货时间及地点</w:t>
      </w:r>
    </w:p>
    <w:p>
      <w:pPr>
        <w:pStyle w:val="null3"/>
        <w:ind w:firstLine="465"/>
        <w:jc w:val="left"/>
      </w:pPr>
      <w:r>
        <w:rPr>
          <w:rFonts w:ascii="仿宋_GB2312" w:hAnsi="仿宋_GB2312" w:cs="仿宋_GB2312" w:eastAsia="仿宋_GB2312"/>
          <w:sz w:val="20"/>
        </w:rPr>
        <w:t>中标人根据与</w:t>
      </w:r>
      <w:r>
        <w:rPr>
          <w:rFonts w:ascii="仿宋_GB2312" w:hAnsi="仿宋_GB2312" w:cs="仿宋_GB2312" w:eastAsia="仿宋_GB2312"/>
          <w:sz w:val="20"/>
        </w:rPr>
        <w:t>采购人</w:t>
      </w:r>
      <w:r>
        <w:rPr>
          <w:rFonts w:ascii="仿宋_GB2312" w:hAnsi="仿宋_GB2312" w:cs="仿宋_GB2312" w:eastAsia="仿宋_GB2312"/>
          <w:sz w:val="20"/>
        </w:rPr>
        <w:t>签订合同中提供的</w:t>
      </w:r>
      <w:r>
        <w:rPr>
          <w:rFonts w:ascii="仿宋_GB2312" w:hAnsi="仿宋_GB2312" w:cs="仿宋_GB2312" w:eastAsia="仿宋_GB2312"/>
          <w:sz w:val="20"/>
        </w:rPr>
        <w:t>“供货通知清单（含品种、规格、数量）”，在规定的时间内将所需商品运送至</w:t>
      </w:r>
      <w:r>
        <w:rPr>
          <w:rFonts w:ascii="仿宋_GB2312" w:hAnsi="仿宋_GB2312" w:cs="仿宋_GB2312" w:eastAsia="仿宋_GB2312"/>
          <w:sz w:val="20"/>
        </w:rPr>
        <w:t>福建省人民代表大会常务委员会</w:t>
      </w:r>
      <w:r>
        <w:rPr>
          <w:rFonts w:ascii="仿宋_GB2312" w:hAnsi="仿宋_GB2312" w:cs="仿宋_GB2312" w:eastAsia="仿宋_GB2312"/>
          <w:sz w:val="20"/>
        </w:rPr>
        <w:t>机关</w:t>
      </w:r>
      <w:r>
        <w:rPr>
          <w:rFonts w:ascii="仿宋_GB2312" w:hAnsi="仿宋_GB2312" w:cs="仿宋_GB2312" w:eastAsia="仿宋_GB2312"/>
          <w:sz w:val="20"/>
        </w:rPr>
        <w:t>食堂后厨。</w:t>
      </w:r>
    </w:p>
    <w:p>
      <w:pPr>
        <w:pStyle w:val="null3"/>
        <w:jc w:val="left"/>
      </w:pPr>
      <w:r>
        <w:rPr>
          <w:rFonts w:ascii="仿宋_GB2312" w:hAnsi="仿宋_GB2312" w:cs="仿宋_GB2312" w:eastAsia="仿宋_GB2312"/>
          <w:sz w:val="20"/>
          <w:b/>
        </w:rPr>
        <w:t>（四）、质量要求</w:t>
      </w:r>
    </w:p>
    <w:p>
      <w:pPr>
        <w:pStyle w:val="null3"/>
        <w:ind w:firstLine="465"/>
        <w:jc w:val="left"/>
      </w:pPr>
      <w:r>
        <w:rPr>
          <w:rFonts w:ascii="仿宋_GB2312" w:hAnsi="仿宋_GB2312" w:cs="仿宋_GB2312" w:eastAsia="仿宋_GB2312"/>
          <w:sz w:val="20"/>
          <w:b/>
        </w:rPr>
        <w:t>★</w:t>
      </w:r>
      <w:r>
        <w:rPr>
          <w:rFonts w:ascii="仿宋_GB2312" w:hAnsi="仿宋_GB2312" w:cs="仿宋_GB2312" w:eastAsia="仿宋_GB2312"/>
          <w:sz w:val="20"/>
        </w:rPr>
        <w:t>中标人提供的所有货物必须符合《中华人民共和国食品安全法》、《中华人民共和国农产品质量安全法》、《中华人民共和国产品质量法》及国家行业标准的有关规定，供应的货物应留有三分之二（含）以上的保质期限且大小均匀，货物验收实行索证制度。其中蔬菜、水果：农药残留不得超过《食品中农药最大残留限量》（</w:t>
      </w:r>
      <w:r>
        <w:rPr>
          <w:rFonts w:ascii="仿宋_GB2312" w:hAnsi="仿宋_GB2312" w:cs="仿宋_GB2312" w:eastAsia="仿宋_GB2312"/>
          <w:sz w:val="20"/>
        </w:rPr>
        <w:t>GB2763）国家标准；面粉（小麦粉）：中标人提供的面粉必须符合GB</w:t>
      </w:r>
      <w:r>
        <w:rPr>
          <w:rFonts w:ascii="仿宋_GB2312" w:hAnsi="仿宋_GB2312" w:cs="仿宋_GB2312" w:eastAsia="仿宋_GB2312"/>
          <w:sz w:val="20"/>
        </w:rPr>
        <w:t>/T</w:t>
      </w:r>
      <w:r>
        <w:rPr>
          <w:rFonts w:ascii="仿宋_GB2312" w:hAnsi="仿宋_GB2312" w:cs="仿宋_GB2312" w:eastAsia="仿宋_GB2312"/>
          <w:sz w:val="20"/>
        </w:rPr>
        <w:t>1355小麦粉国家标准并拥有“SC”食品生产许可证；中标人提供的猪、牛、羊、鸡、鸭等鲜、冻肉类必须符合GB2707、GB16869国家标准；禽蛋：中标人提供的禽蛋应符合GB2749国家标准；巴氏杀菌乳：中标人提供的巴氏杀菌乳应符合GB19645国家标准,要求当天鲜奶并提供全程冷链运输配送；发酵乳：中标人提供的发酵乳应符合GB19302国家标准；其他奶制品必须符合卫生质量要求及国家相关标准。</w:t>
      </w:r>
    </w:p>
    <w:p>
      <w:pPr>
        <w:pStyle w:val="null3"/>
        <w:ind w:firstLine="480"/>
        <w:jc w:val="left"/>
      </w:pPr>
      <w:r>
        <w:rPr>
          <w:rFonts w:ascii="仿宋_GB2312" w:hAnsi="仿宋_GB2312" w:cs="仿宋_GB2312" w:eastAsia="仿宋_GB2312"/>
          <w:sz w:val="20"/>
        </w:rPr>
        <w:t>具体要求如下：</w:t>
      </w:r>
    </w:p>
    <w:p>
      <w:pPr>
        <w:pStyle w:val="null3"/>
        <w:jc w:val="left"/>
      </w:pPr>
      <w:r>
        <w:rPr>
          <w:rFonts w:ascii="仿宋_GB2312" w:hAnsi="仿宋_GB2312" w:cs="仿宋_GB2312" w:eastAsia="仿宋_GB2312"/>
          <w:sz w:val="20"/>
        </w:rPr>
        <w:t>（一）蔬菜、水果</w:t>
      </w:r>
    </w:p>
    <w:p>
      <w:pPr>
        <w:pStyle w:val="null3"/>
        <w:jc w:val="left"/>
      </w:pPr>
      <w:r>
        <w:rPr>
          <w:rFonts w:ascii="仿宋_GB2312" w:hAnsi="仿宋_GB2312" w:cs="仿宋_GB2312" w:eastAsia="仿宋_GB2312"/>
          <w:sz w:val="20"/>
          <w:b/>
        </w:rPr>
        <w:t>【评审指标</w:t>
      </w:r>
      <w:r>
        <w:rPr>
          <w:rFonts w:ascii="仿宋_GB2312" w:hAnsi="仿宋_GB2312" w:cs="仿宋_GB2312" w:eastAsia="仿宋_GB2312"/>
          <w:sz w:val="20"/>
          <w:b/>
        </w:rPr>
        <w:t>1</w:t>
      </w:r>
      <w:r>
        <w:rPr>
          <w:rFonts w:ascii="仿宋_GB2312" w:hAnsi="仿宋_GB2312" w:cs="仿宋_GB2312" w:eastAsia="仿宋_GB2312"/>
          <w:sz w:val="20"/>
          <w:b/>
        </w:rPr>
        <w:t>】</w:t>
      </w:r>
    </w:p>
    <w:p>
      <w:pPr>
        <w:pStyle w:val="null3"/>
        <w:ind w:firstLine="465"/>
        <w:jc w:val="left"/>
      </w:pPr>
      <w:r>
        <w:rPr>
          <w:rFonts w:ascii="仿宋_GB2312" w:hAnsi="仿宋_GB2312" w:cs="仿宋_GB2312" w:eastAsia="仿宋_GB2312"/>
          <w:sz w:val="20"/>
        </w:rPr>
        <w:t>1、中标人提供的必须是新鲜蔬菜，质量必须符合国家食品卫生管理相关标准及法规要求：</w:t>
      </w:r>
    </w:p>
    <w:p>
      <w:pPr>
        <w:pStyle w:val="null3"/>
        <w:ind w:firstLine="465"/>
        <w:jc w:val="left"/>
      </w:pPr>
      <w:r>
        <w:rPr>
          <w:rFonts w:ascii="仿宋_GB2312" w:hAnsi="仿宋_GB2312" w:cs="仿宋_GB2312" w:eastAsia="仿宋_GB2312"/>
          <w:sz w:val="20"/>
        </w:rPr>
        <w:t>(1)不得提供腐烂变质、黄叶、烂叶及带泥巴的蔬菜；</w:t>
      </w:r>
    </w:p>
    <w:p>
      <w:pPr>
        <w:pStyle w:val="null3"/>
        <w:ind w:firstLine="465"/>
        <w:jc w:val="left"/>
      </w:pPr>
      <w:r>
        <w:rPr>
          <w:rFonts w:ascii="仿宋_GB2312" w:hAnsi="仿宋_GB2312" w:cs="仿宋_GB2312" w:eastAsia="仿宋_GB2312"/>
          <w:sz w:val="20"/>
        </w:rPr>
        <w:t>(2)蔬菜外表不得人为喷洒水分和有过多的虫孔；</w:t>
      </w:r>
    </w:p>
    <w:p>
      <w:pPr>
        <w:pStyle w:val="null3"/>
        <w:ind w:firstLine="465"/>
        <w:jc w:val="left"/>
      </w:pPr>
      <w:r>
        <w:rPr>
          <w:rFonts w:ascii="仿宋_GB2312" w:hAnsi="仿宋_GB2312" w:cs="仿宋_GB2312" w:eastAsia="仿宋_GB2312"/>
          <w:sz w:val="20"/>
        </w:rPr>
        <w:t>(3)不得提供过长的菜头和菜根。</w:t>
      </w:r>
    </w:p>
    <w:p>
      <w:pPr>
        <w:pStyle w:val="null3"/>
        <w:jc w:val="left"/>
      </w:pPr>
      <w:r>
        <w:rPr>
          <w:rFonts w:ascii="仿宋_GB2312" w:hAnsi="仿宋_GB2312" w:cs="仿宋_GB2312" w:eastAsia="仿宋_GB2312"/>
          <w:sz w:val="20"/>
          <w:b/>
        </w:rPr>
        <w:t>【评审指标</w:t>
      </w:r>
      <w:r>
        <w:rPr>
          <w:rFonts w:ascii="仿宋_GB2312" w:hAnsi="仿宋_GB2312" w:cs="仿宋_GB2312" w:eastAsia="仿宋_GB2312"/>
          <w:sz w:val="20"/>
          <w:b/>
        </w:rPr>
        <w:t>2</w:t>
      </w:r>
      <w:r>
        <w:rPr>
          <w:rFonts w:ascii="仿宋_GB2312" w:hAnsi="仿宋_GB2312" w:cs="仿宋_GB2312" w:eastAsia="仿宋_GB2312"/>
          <w:sz w:val="20"/>
          <w:b/>
        </w:rPr>
        <w:t>】</w:t>
      </w:r>
    </w:p>
    <w:p>
      <w:pPr>
        <w:pStyle w:val="null3"/>
        <w:ind w:firstLine="465"/>
        <w:jc w:val="left"/>
      </w:pPr>
      <w:r>
        <w:rPr>
          <w:rFonts w:ascii="仿宋_GB2312" w:hAnsi="仿宋_GB2312" w:cs="仿宋_GB2312" w:eastAsia="仿宋_GB2312"/>
          <w:sz w:val="20"/>
        </w:rPr>
        <w:t>2、中标人提供的必须是新鲜水果，质量必须符合国家食品卫生管理相关标准及法规要求：</w:t>
      </w:r>
    </w:p>
    <w:p>
      <w:pPr>
        <w:pStyle w:val="null3"/>
        <w:ind w:firstLine="465"/>
        <w:jc w:val="left"/>
      </w:pPr>
      <w:r>
        <w:rPr>
          <w:rFonts w:ascii="仿宋_GB2312" w:hAnsi="仿宋_GB2312" w:cs="仿宋_GB2312" w:eastAsia="仿宋_GB2312"/>
          <w:sz w:val="20"/>
        </w:rPr>
        <w:t>(1)果形端正，大小均匀，无畸形果，带果柄，果实无萎焉；</w:t>
      </w:r>
    </w:p>
    <w:p>
      <w:pPr>
        <w:pStyle w:val="null3"/>
        <w:ind w:firstLine="465"/>
        <w:jc w:val="left"/>
      </w:pPr>
      <w:r>
        <w:rPr>
          <w:rFonts w:ascii="仿宋_GB2312" w:hAnsi="仿宋_GB2312" w:cs="仿宋_GB2312" w:eastAsia="仿宋_GB2312"/>
          <w:sz w:val="20"/>
        </w:rPr>
        <w:t>(2)果面新鲜洁净，无刺划伤，无压痕，无病虫害，无病斑，无腐烂。</w:t>
      </w:r>
    </w:p>
    <w:p>
      <w:pPr>
        <w:pStyle w:val="null3"/>
        <w:ind w:firstLine="465"/>
        <w:jc w:val="left"/>
      </w:pPr>
      <w:r>
        <w:rPr>
          <w:rFonts w:ascii="仿宋_GB2312" w:hAnsi="仿宋_GB2312" w:cs="仿宋_GB2312" w:eastAsia="仿宋_GB2312"/>
          <w:sz w:val="20"/>
        </w:rPr>
        <w:t>(3)口感正常，具有水果特有的风味。</w:t>
      </w:r>
    </w:p>
    <w:p>
      <w:pPr>
        <w:pStyle w:val="null3"/>
        <w:jc w:val="left"/>
      </w:pPr>
      <w:r>
        <w:rPr>
          <w:rFonts w:ascii="仿宋_GB2312" w:hAnsi="仿宋_GB2312" w:cs="仿宋_GB2312" w:eastAsia="仿宋_GB2312"/>
          <w:sz w:val="20"/>
          <w:b/>
        </w:rPr>
        <w:t>【评审指标</w:t>
      </w:r>
      <w:r>
        <w:rPr>
          <w:rFonts w:ascii="仿宋_GB2312" w:hAnsi="仿宋_GB2312" w:cs="仿宋_GB2312" w:eastAsia="仿宋_GB2312"/>
          <w:sz w:val="20"/>
          <w:b/>
        </w:rPr>
        <w:t>3</w:t>
      </w:r>
      <w:r>
        <w:rPr>
          <w:rFonts w:ascii="仿宋_GB2312" w:hAnsi="仿宋_GB2312" w:cs="仿宋_GB2312" w:eastAsia="仿宋_GB2312"/>
          <w:sz w:val="20"/>
          <w:b/>
        </w:rPr>
        <w:t>】</w:t>
      </w:r>
    </w:p>
    <w:p>
      <w:pPr>
        <w:pStyle w:val="null3"/>
        <w:ind w:firstLine="465"/>
        <w:jc w:val="left"/>
      </w:pPr>
      <w:r>
        <w:rPr>
          <w:rFonts w:ascii="仿宋_GB2312" w:hAnsi="仿宋_GB2312" w:cs="仿宋_GB2312" w:eastAsia="仿宋_GB2312"/>
          <w:sz w:val="20"/>
        </w:rPr>
        <w:t>3、中标人每批蔬菜、水果必须出具一份农药残留检测报告。</w:t>
      </w:r>
    </w:p>
    <w:p>
      <w:pPr>
        <w:pStyle w:val="null3"/>
        <w:jc w:val="left"/>
      </w:pPr>
      <w:r>
        <w:rPr>
          <w:rFonts w:ascii="仿宋_GB2312" w:hAnsi="仿宋_GB2312" w:cs="仿宋_GB2312" w:eastAsia="仿宋_GB2312"/>
          <w:sz w:val="20"/>
        </w:rPr>
        <w:t>（二）面粉（小麦粉）</w:t>
      </w:r>
    </w:p>
    <w:p>
      <w:pPr>
        <w:pStyle w:val="null3"/>
        <w:jc w:val="left"/>
      </w:pPr>
      <w:r>
        <w:rPr>
          <w:rFonts w:ascii="仿宋_GB2312" w:hAnsi="仿宋_GB2312" w:cs="仿宋_GB2312" w:eastAsia="仿宋_GB2312"/>
          <w:sz w:val="20"/>
          <w:b/>
        </w:rPr>
        <w:t>【评审指标</w:t>
      </w:r>
      <w:r>
        <w:rPr>
          <w:rFonts w:ascii="仿宋_GB2312" w:hAnsi="仿宋_GB2312" w:cs="仿宋_GB2312" w:eastAsia="仿宋_GB2312"/>
          <w:sz w:val="20"/>
          <w:b/>
        </w:rPr>
        <w:t>4</w:t>
      </w:r>
      <w:r>
        <w:rPr>
          <w:rFonts w:ascii="仿宋_GB2312" w:hAnsi="仿宋_GB2312" w:cs="仿宋_GB2312" w:eastAsia="仿宋_GB2312"/>
          <w:sz w:val="20"/>
          <w:b/>
        </w:rPr>
        <w:t>】</w:t>
      </w:r>
    </w:p>
    <w:p>
      <w:pPr>
        <w:pStyle w:val="null3"/>
        <w:ind w:firstLine="465"/>
        <w:jc w:val="left"/>
      </w:pPr>
      <w:r>
        <w:rPr>
          <w:rFonts w:ascii="仿宋_GB2312" w:hAnsi="仿宋_GB2312" w:cs="仿宋_GB2312" w:eastAsia="仿宋_GB2312"/>
          <w:sz w:val="20"/>
        </w:rPr>
        <w:t>特制一等：灰分</w:t>
      </w:r>
      <w:r>
        <w:rPr>
          <w:rFonts w:ascii="仿宋_GB2312" w:hAnsi="仿宋_GB2312" w:cs="仿宋_GB2312" w:eastAsia="仿宋_GB2312"/>
          <w:sz w:val="20"/>
        </w:rPr>
        <w:t>(以干基计)</w:t>
      </w:r>
      <w:r>
        <w:rPr>
          <w:rFonts w:ascii="仿宋_GB2312" w:hAnsi="仿宋_GB2312" w:cs="仿宋_GB2312" w:eastAsia="仿宋_GB2312"/>
          <w:sz w:val="20"/>
        </w:rPr>
        <w:t>：</w:t>
      </w:r>
      <w:r>
        <w:rPr>
          <w:rFonts w:ascii="仿宋_GB2312" w:hAnsi="仿宋_GB2312" w:cs="仿宋_GB2312" w:eastAsia="仿宋_GB2312"/>
          <w:sz w:val="20"/>
        </w:rPr>
        <w:t>≤0.70%；粗细度：全部通过GB36号筛，留存在CB42号筛的不超过10.0%；面筋质（以湿重计）：≥26.0%；含砂量：≤0.02%；磁性金属物</w:t>
      </w:r>
      <w:r>
        <w:rPr>
          <w:rFonts w:ascii="仿宋_GB2312" w:hAnsi="仿宋_GB2312" w:cs="仿宋_GB2312" w:eastAsia="仿宋_GB2312"/>
          <w:sz w:val="20"/>
        </w:rPr>
        <w:t>：</w:t>
      </w:r>
      <w:r>
        <w:rPr>
          <w:rFonts w:ascii="仿宋_GB2312" w:hAnsi="仿宋_GB2312" w:cs="仿宋_GB2312" w:eastAsia="仿宋_GB2312"/>
          <w:sz w:val="20"/>
        </w:rPr>
        <w:t>≤0.003g/Kg；水分</w:t>
      </w:r>
      <w:r>
        <w:rPr>
          <w:rFonts w:ascii="仿宋_GB2312" w:hAnsi="仿宋_GB2312" w:cs="仿宋_GB2312" w:eastAsia="仿宋_GB2312"/>
          <w:sz w:val="20"/>
        </w:rPr>
        <w:t>：</w:t>
      </w:r>
      <w:r>
        <w:rPr>
          <w:rFonts w:ascii="仿宋_GB2312" w:hAnsi="仿宋_GB2312" w:cs="仿宋_GB2312" w:eastAsia="仿宋_GB2312"/>
          <w:sz w:val="20"/>
        </w:rPr>
        <w:t>≤14.0%；脂肪酸值（以湿基计）：≤80；气味、口味：正常。</w:t>
      </w:r>
    </w:p>
    <w:p>
      <w:pPr>
        <w:pStyle w:val="null3"/>
        <w:ind w:firstLine="465"/>
        <w:jc w:val="left"/>
      </w:pPr>
      <w:r>
        <w:rPr>
          <w:rFonts w:ascii="仿宋_GB2312" w:hAnsi="仿宋_GB2312" w:cs="仿宋_GB2312" w:eastAsia="仿宋_GB2312"/>
          <w:sz w:val="20"/>
        </w:rPr>
        <w:t>特制二等：灰分</w:t>
      </w:r>
      <w:r>
        <w:rPr>
          <w:rFonts w:ascii="仿宋_GB2312" w:hAnsi="仿宋_GB2312" w:cs="仿宋_GB2312" w:eastAsia="仿宋_GB2312"/>
          <w:sz w:val="20"/>
        </w:rPr>
        <w:t>(以干基计)</w:t>
      </w:r>
      <w:r>
        <w:rPr>
          <w:rFonts w:ascii="仿宋_GB2312" w:hAnsi="仿宋_GB2312" w:cs="仿宋_GB2312" w:eastAsia="仿宋_GB2312"/>
          <w:sz w:val="20"/>
        </w:rPr>
        <w:t>：</w:t>
      </w:r>
      <w:r>
        <w:rPr>
          <w:rFonts w:ascii="仿宋_GB2312" w:hAnsi="仿宋_GB2312" w:cs="仿宋_GB2312" w:eastAsia="仿宋_GB2312"/>
          <w:sz w:val="20"/>
        </w:rPr>
        <w:t>≤0.85%；粗细度：全部通过GB30号筛，留存在CB36号筛的不超过10.0%；面筋质（以湿重计）：≥25.0%；含砂量：≤0.02%；磁性金属物</w:t>
      </w:r>
      <w:r>
        <w:rPr>
          <w:rFonts w:ascii="仿宋_GB2312" w:hAnsi="仿宋_GB2312" w:cs="仿宋_GB2312" w:eastAsia="仿宋_GB2312"/>
          <w:sz w:val="20"/>
        </w:rPr>
        <w:t>：</w:t>
      </w:r>
      <w:r>
        <w:rPr>
          <w:rFonts w:ascii="仿宋_GB2312" w:hAnsi="仿宋_GB2312" w:cs="仿宋_GB2312" w:eastAsia="仿宋_GB2312"/>
          <w:sz w:val="20"/>
        </w:rPr>
        <w:t>≤0.003g/Kg；水分</w:t>
      </w:r>
      <w:r>
        <w:rPr>
          <w:rFonts w:ascii="仿宋_GB2312" w:hAnsi="仿宋_GB2312" w:cs="仿宋_GB2312" w:eastAsia="仿宋_GB2312"/>
          <w:sz w:val="20"/>
        </w:rPr>
        <w:t>：</w:t>
      </w:r>
      <w:r>
        <w:rPr>
          <w:rFonts w:ascii="仿宋_GB2312" w:hAnsi="仿宋_GB2312" w:cs="仿宋_GB2312" w:eastAsia="仿宋_GB2312"/>
          <w:sz w:val="20"/>
        </w:rPr>
        <w:t>≤14.0%；脂肪酸值（以湿基计）：≤80；气味、口味：正常。</w:t>
      </w:r>
    </w:p>
    <w:p>
      <w:pPr>
        <w:pStyle w:val="null3"/>
        <w:jc w:val="left"/>
      </w:pPr>
      <w:r>
        <w:rPr>
          <w:rFonts w:ascii="仿宋_GB2312" w:hAnsi="仿宋_GB2312" w:cs="仿宋_GB2312" w:eastAsia="仿宋_GB2312"/>
          <w:sz w:val="20"/>
          <w:b/>
        </w:rPr>
        <w:t>【评审指标</w:t>
      </w:r>
      <w:r>
        <w:rPr>
          <w:rFonts w:ascii="仿宋_GB2312" w:hAnsi="仿宋_GB2312" w:cs="仿宋_GB2312" w:eastAsia="仿宋_GB2312"/>
          <w:sz w:val="20"/>
          <w:b/>
        </w:rPr>
        <w:t>5</w:t>
      </w:r>
      <w:r>
        <w:rPr>
          <w:rFonts w:ascii="仿宋_GB2312" w:hAnsi="仿宋_GB2312" w:cs="仿宋_GB2312" w:eastAsia="仿宋_GB2312"/>
          <w:sz w:val="20"/>
          <w:b/>
        </w:rPr>
        <w:t>】</w:t>
      </w:r>
    </w:p>
    <w:p>
      <w:pPr>
        <w:pStyle w:val="null3"/>
        <w:ind w:firstLine="465"/>
        <w:jc w:val="left"/>
      </w:pPr>
      <w:r>
        <w:rPr>
          <w:rFonts w:ascii="仿宋_GB2312" w:hAnsi="仿宋_GB2312" w:cs="仿宋_GB2312" w:eastAsia="仿宋_GB2312"/>
          <w:sz w:val="20"/>
        </w:rPr>
        <w:t>标准粉：灰分</w:t>
      </w:r>
      <w:r>
        <w:rPr>
          <w:rFonts w:ascii="仿宋_GB2312" w:hAnsi="仿宋_GB2312" w:cs="仿宋_GB2312" w:eastAsia="仿宋_GB2312"/>
          <w:sz w:val="20"/>
        </w:rPr>
        <w:t>(以干基计)</w:t>
      </w:r>
      <w:r>
        <w:rPr>
          <w:rFonts w:ascii="仿宋_GB2312" w:hAnsi="仿宋_GB2312" w:cs="仿宋_GB2312" w:eastAsia="仿宋_GB2312"/>
          <w:sz w:val="20"/>
        </w:rPr>
        <w:t>：</w:t>
      </w:r>
      <w:r>
        <w:rPr>
          <w:rFonts w:ascii="仿宋_GB2312" w:hAnsi="仿宋_GB2312" w:cs="仿宋_GB2312" w:eastAsia="仿宋_GB2312"/>
          <w:sz w:val="20"/>
        </w:rPr>
        <w:t>≤1.10%；粗细度：全部通过GQ20号筛，留存在CB30号筛的不超过20.0%；面筋质（以湿重计）：≥24.0%；含砂量：≤0.02%；磁性金属物</w:t>
      </w:r>
      <w:r>
        <w:rPr>
          <w:rFonts w:ascii="仿宋_GB2312" w:hAnsi="仿宋_GB2312" w:cs="仿宋_GB2312" w:eastAsia="仿宋_GB2312"/>
          <w:sz w:val="20"/>
        </w:rPr>
        <w:t>：</w:t>
      </w:r>
      <w:r>
        <w:rPr>
          <w:rFonts w:ascii="仿宋_GB2312" w:hAnsi="仿宋_GB2312" w:cs="仿宋_GB2312" w:eastAsia="仿宋_GB2312"/>
          <w:sz w:val="20"/>
        </w:rPr>
        <w:t>≤0.003g/Kg；水分</w:t>
      </w:r>
      <w:r>
        <w:rPr>
          <w:rFonts w:ascii="仿宋_GB2312" w:hAnsi="仿宋_GB2312" w:cs="仿宋_GB2312" w:eastAsia="仿宋_GB2312"/>
          <w:sz w:val="20"/>
        </w:rPr>
        <w:t>：</w:t>
      </w:r>
      <w:r>
        <w:rPr>
          <w:rFonts w:ascii="仿宋_GB2312" w:hAnsi="仿宋_GB2312" w:cs="仿宋_GB2312" w:eastAsia="仿宋_GB2312"/>
          <w:sz w:val="20"/>
        </w:rPr>
        <w:t>≤13.5%；脂肪酸值（以湿基计）：≤80；气味、口味：正常。</w:t>
      </w:r>
    </w:p>
    <w:p>
      <w:pPr>
        <w:pStyle w:val="null3"/>
        <w:jc w:val="left"/>
      </w:pPr>
      <w:r>
        <w:rPr>
          <w:rFonts w:ascii="仿宋_GB2312" w:hAnsi="仿宋_GB2312" w:cs="仿宋_GB2312" w:eastAsia="仿宋_GB2312"/>
          <w:sz w:val="20"/>
          <w:b/>
        </w:rPr>
        <w:t>【评审指标</w:t>
      </w:r>
      <w:r>
        <w:rPr>
          <w:rFonts w:ascii="仿宋_GB2312" w:hAnsi="仿宋_GB2312" w:cs="仿宋_GB2312" w:eastAsia="仿宋_GB2312"/>
          <w:sz w:val="20"/>
          <w:b/>
        </w:rPr>
        <w:t>6</w:t>
      </w:r>
      <w:r>
        <w:rPr>
          <w:rFonts w:ascii="仿宋_GB2312" w:hAnsi="仿宋_GB2312" w:cs="仿宋_GB2312" w:eastAsia="仿宋_GB2312"/>
          <w:sz w:val="20"/>
          <w:b/>
        </w:rPr>
        <w:t>】</w:t>
      </w:r>
    </w:p>
    <w:p>
      <w:pPr>
        <w:pStyle w:val="null3"/>
        <w:ind w:firstLine="465"/>
        <w:jc w:val="left"/>
      </w:pPr>
      <w:r>
        <w:rPr>
          <w:rFonts w:ascii="仿宋_GB2312" w:hAnsi="仿宋_GB2312" w:cs="仿宋_GB2312" w:eastAsia="仿宋_GB2312"/>
          <w:sz w:val="20"/>
        </w:rPr>
        <w:t>普通粉：灰分</w:t>
      </w:r>
      <w:r>
        <w:rPr>
          <w:rFonts w:ascii="仿宋_GB2312" w:hAnsi="仿宋_GB2312" w:cs="仿宋_GB2312" w:eastAsia="仿宋_GB2312"/>
          <w:sz w:val="20"/>
        </w:rPr>
        <w:t>(以干基计)</w:t>
      </w:r>
      <w:r>
        <w:rPr>
          <w:rFonts w:ascii="仿宋_GB2312" w:hAnsi="仿宋_GB2312" w:cs="仿宋_GB2312" w:eastAsia="仿宋_GB2312"/>
          <w:sz w:val="20"/>
        </w:rPr>
        <w:t>：</w:t>
      </w:r>
      <w:r>
        <w:rPr>
          <w:rFonts w:ascii="仿宋_GB2312" w:hAnsi="仿宋_GB2312" w:cs="仿宋_GB2312" w:eastAsia="仿宋_GB2312"/>
          <w:sz w:val="20"/>
        </w:rPr>
        <w:t>≤1.40%；粗细度：全部通过GQ20号筛；面筋质（以湿重计）：≥22.0%；含砂量：≤0.02%；磁性金属物</w:t>
      </w:r>
      <w:r>
        <w:rPr>
          <w:rFonts w:ascii="仿宋_GB2312" w:hAnsi="仿宋_GB2312" w:cs="仿宋_GB2312" w:eastAsia="仿宋_GB2312"/>
          <w:sz w:val="20"/>
        </w:rPr>
        <w:t>：</w:t>
      </w:r>
      <w:r>
        <w:rPr>
          <w:rFonts w:ascii="仿宋_GB2312" w:hAnsi="仿宋_GB2312" w:cs="仿宋_GB2312" w:eastAsia="仿宋_GB2312"/>
          <w:sz w:val="20"/>
        </w:rPr>
        <w:t>≤0.003g/Kg；水分</w:t>
      </w:r>
      <w:r>
        <w:rPr>
          <w:rFonts w:ascii="仿宋_GB2312" w:hAnsi="仿宋_GB2312" w:cs="仿宋_GB2312" w:eastAsia="仿宋_GB2312"/>
          <w:sz w:val="20"/>
        </w:rPr>
        <w:t>：</w:t>
      </w:r>
      <w:r>
        <w:rPr>
          <w:rFonts w:ascii="仿宋_GB2312" w:hAnsi="仿宋_GB2312" w:cs="仿宋_GB2312" w:eastAsia="仿宋_GB2312"/>
          <w:sz w:val="20"/>
        </w:rPr>
        <w:t>≤13.5%；脂肪酸值（以湿基计）：≤80；气味、口味：正常。</w:t>
      </w:r>
    </w:p>
    <w:p>
      <w:pPr>
        <w:pStyle w:val="null3"/>
        <w:jc w:val="left"/>
      </w:pPr>
      <w:r>
        <w:rPr>
          <w:rFonts w:ascii="仿宋_GB2312" w:hAnsi="仿宋_GB2312" w:cs="仿宋_GB2312" w:eastAsia="仿宋_GB2312"/>
          <w:sz w:val="20"/>
        </w:rPr>
        <w:t>（三）肉类、水产及其制品</w:t>
      </w:r>
    </w:p>
    <w:p>
      <w:pPr>
        <w:pStyle w:val="null3"/>
        <w:jc w:val="left"/>
      </w:pPr>
      <w:r>
        <w:rPr>
          <w:rFonts w:ascii="仿宋_GB2312" w:hAnsi="仿宋_GB2312" w:cs="仿宋_GB2312" w:eastAsia="仿宋_GB2312"/>
          <w:sz w:val="20"/>
          <w:b/>
        </w:rPr>
        <w:t>【评审指标</w:t>
      </w:r>
      <w:r>
        <w:rPr>
          <w:rFonts w:ascii="仿宋_GB2312" w:hAnsi="仿宋_GB2312" w:cs="仿宋_GB2312" w:eastAsia="仿宋_GB2312"/>
          <w:sz w:val="20"/>
          <w:b/>
        </w:rPr>
        <w:t>7</w:t>
      </w:r>
      <w:r>
        <w:rPr>
          <w:rFonts w:ascii="仿宋_GB2312" w:hAnsi="仿宋_GB2312" w:cs="仿宋_GB2312" w:eastAsia="仿宋_GB2312"/>
          <w:sz w:val="20"/>
          <w:b/>
        </w:rPr>
        <w:t>】</w:t>
      </w:r>
    </w:p>
    <w:p>
      <w:pPr>
        <w:pStyle w:val="null3"/>
        <w:ind w:firstLine="465"/>
        <w:jc w:val="left"/>
      </w:pPr>
      <w:r>
        <w:rPr>
          <w:rFonts w:ascii="仿宋_GB2312" w:hAnsi="仿宋_GB2312" w:cs="仿宋_GB2312" w:eastAsia="仿宋_GB2312"/>
          <w:sz w:val="20"/>
        </w:rPr>
        <w:t>1、猪、牛、羊、鸡、鸭等鲜、冻肉类及其制品</w:t>
      </w:r>
    </w:p>
    <w:p>
      <w:pPr>
        <w:pStyle w:val="null3"/>
        <w:ind w:firstLine="465"/>
        <w:jc w:val="left"/>
      </w:pPr>
      <w:r>
        <w:rPr>
          <w:rFonts w:ascii="仿宋_GB2312" w:hAnsi="仿宋_GB2312" w:cs="仿宋_GB2312" w:eastAsia="仿宋_GB2312"/>
          <w:sz w:val="20"/>
        </w:rPr>
        <w:t>每批次猪、牛、羊、鸡、鸭等鲜、冻肉类必须提供动物货物检验检疫合格证明，且符合食品卫生相关标准及法规要求。</w:t>
      </w:r>
    </w:p>
    <w:p>
      <w:pPr>
        <w:pStyle w:val="null3"/>
        <w:ind w:firstLine="465"/>
        <w:jc w:val="left"/>
      </w:pPr>
      <w:r>
        <w:rPr>
          <w:rFonts w:ascii="仿宋_GB2312" w:hAnsi="仿宋_GB2312" w:cs="仿宋_GB2312" w:eastAsia="仿宋_GB2312"/>
          <w:sz w:val="20"/>
        </w:rPr>
        <w:t>（</w:t>
      </w:r>
      <w:r>
        <w:rPr>
          <w:rFonts w:ascii="仿宋_GB2312" w:hAnsi="仿宋_GB2312" w:cs="仿宋_GB2312" w:eastAsia="仿宋_GB2312"/>
          <w:sz w:val="20"/>
        </w:rPr>
        <w:t>1）猪、牛、羊等鲜、冻肉类:无异味、无酸败味；</w:t>
      </w:r>
    </w:p>
    <w:p>
      <w:pPr>
        <w:pStyle w:val="null3"/>
        <w:ind w:firstLine="465"/>
        <w:jc w:val="left"/>
      </w:pPr>
      <w:r>
        <w:rPr>
          <w:rFonts w:ascii="仿宋_GB2312" w:hAnsi="仿宋_GB2312" w:cs="仿宋_GB2312" w:eastAsia="仿宋_GB2312"/>
          <w:sz w:val="20"/>
        </w:rPr>
        <w:t>（</w:t>
      </w:r>
      <w:r>
        <w:rPr>
          <w:rFonts w:ascii="仿宋_GB2312" w:hAnsi="仿宋_GB2312" w:cs="仿宋_GB2312" w:eastAsia="仿宋_GB2312"/>
          <w:sz w:val="20"/>
        </w:rPr>
        <w:t>2）鸡、鸭等鲜、冻肉类：表皮和肌肉切面有光泽，具有禽类品种应有的气味，无异味。</w:t>
      </w:r>
    </w:p>
    <w:p>
      <w:pPr>
        <w:pStyle w:val="null3"/>
        <w:ind w:firstLine="465"/>
        <w:jc w:val="left"/>
      </w:pPr>
      <w:r>
        <w:rPr>
          <w:rFonts w:ascii="仿宋_GB2312" w:hAnsi="仿宋_GB2312" w:cs="仿宋_GB2312" w:eastAsia="仿宋_GB2312"/>
          <w:sz w:val="20"/>
          <w:b/>
        </w:rPr>
        <w:t>★</w:t>
      </w:r>
      <w:r>
        <w:rPr>
          <w:rFonts w:ascii="仿宋_GB2312" w:hAnsi="仿宋_GB2312" w:cs="仿宋_GB2312" w:eastAsia="仿宋_GB2312"/>
          <w:sz w:val="20"/>
        </w:rPr>
        <w:t>2、鱼、虾、贝、蟹、藻、头足等鲜、冻水货物类及其制品</w:t>
      </w:r>
    </w:p>
    <w:p>
      <w:pPr>
        <w:pStyle w:val="null3"/>
        <w:ind w:firstLine="480"/>
        <w:jc w:val="left"/>
      </w:pPr>
      <w:r>
        <w:rPr>
          <w:rFonts w:ascii="仿宋_GB2312" w:hAnsi="仿宋_GB2312" w:cs="仿宋_GB2312" w:eastAsia="仿宋_GB2312"/>
          <w:sz w:val="20"/>
        </w:rPr>
        <w:t>中标人提供的鱼、虾、贝、蟹、藻、头足等鲜、冻水货物类必须符合</w:t>
      </w:r>
      <w:r>
        <w:rPr>
          <w:rFonts w:ascii="仿宋_GB2312" w:hAnsi="仿宋_GB2312" w:cs="仿宋_GB2312" w:eastAsia="仿宋_GB2312"/>
          <w:sz w:val="20"/>
        </w:rPr>
        <w:t>GB 2733国家标准，泥螺、河蟹、螃蟆、河虾、淡水贝类必须鲜活，且符合食品卫生相关标准及法规要求。</w:t>
      </w:r>
    </w:p>
    <w:p>
      <w:pPr>
        <w:pStyle w:val="null3"/>
        <w:jc w:val="left"/>
      </w:pPr>
      <w:r>
        <w:rPr>
          <w:rFonts w:ascii="仿宋_GB2312" w:hAnsi="仿宋_GB2312" w:cs="仿宋_GB2312" w:eastAsia="仿宋_GB2312"/>
          <w:sz w:val="20"/>
          <w:b/>
        </w:rPr>
        <w:t>【评审指标</w:t>
      </w:r>
      <w:r>
        <w:rPr>
          <w:rFonts w:ascii="仿宋_GB2312" w:hAnsi="仿宋_GB2312" w:cs="仿宋_GB2312" w:eastAsia="仿宋_GB2312"/>
          <w:sz w:val="20"/>
          <w:b/>
        </w:rPr>
        <w:t>8</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rPr>
        <w:t>（四）禽蛋</w:t>
      </w:r>
    </w:p>
    <w:p>
      <w:pPr>
        <w:pStyle w:val="null3"/>
        <w:ind w:firstLine="465"/>
        <w:jc w:val="left"/>
      </w:pPr>
      <w:r>
        <w:rPr>
          <w:rFonts w:ascii="仿宋_GB2312" w:hAnsi="仿宋_GB2312" w:cs="仿宋_GB2312" w:eastAsia="仿宋_GB2312"/>
          <w:sz w:val="20"/>
        </w:rPr>
        <w:t>色泽：具有禽蛋固有的色泽；</w:t>
      </w:r>
    </w:p>
    <w:p>
      <w:pPr>
        <w:pStyle w:val="null3"/>
        <w:ind w:firstLine="465"/>
        <w:jc w:val="left"/>
      </w:pPr>
      <w:r>
        <w:rPr>
          <w:rFonts w:ascii="仿宋_GB2312" w:hAnsi="仿宋_GB2312" w:cs="仿宋_GB2312" w:eastAsia="仿宋_GB2312"/>
          <w:sz w:val="20"/>
        </w:rPr>
        <w:t>组织形态：蛋壳清洁、无破裂，打开后蛋黄凸起、完整、有韧性，蛋白澄清透明、稀稠分明；</w:t>
      </w:r>
    </w:p>
    <w:p>
      <w:pPr>
        <w:pStyle w:val="null3"/>
        <w:ind w:firstLine="465"/>
        <w:jc w:val="left"/>
      </w:pPr>
      <w:r>
        <w:rPr>
          <w:rFonts w:ascii="仿宋_GB2312" w:hAnsi="仿宋_GB2312" w:cs="仿宋_GB2312" w:eastAsia="仿宋_GB2312"/>
          <w:sz w:val="20"/>
        </w:rPr>
        <w:t>气味：具有货物固有的气味，无异味；</w:t>
      </w:r>
    </w:p>
    <w:p>
      <w:pPr>
        <w:pStyle w:val="null3"/>
        <w:ind w:firstLine="465"/>
        <w:jc w:val="left"/>
      </w:pPr>
      <w:r>
        <w:rPr>
          <w:rFonts w:ascii="仿宋_GB2312" w:hAnsi="仿宋_GB2312" w:cs="仿宋_GB2312" w:eastAsia="仿宋_GB2312"/>
          <w:sz w:val="20"/>
        </w:rPr>
        <w:t>杂质：无杂质，内容物不得有血块及其他组织异物。</w:t>
      </w:r>
    </w:p>
    <w:p>
      <w:pPr>
        <w:pStyle w:val="null3"/>
        <w:jc w:val="left"/>
      </w:pPr>
      <w:r>
        <w:rPr>
          <w:rFonts w:ascii="仿宋_GB2312" w:hAnsi="仿宋_GB2312" w:cs="仿宋_GB2312" w:eastAsia="仿宋_GB2312"/>
          <w:sz w:val="20"/>
        </w:rPr>
        <w:t>（五）</w:t>
      </w:r>
      <w:r>
        <w:rPr>
          <w:rFonts w:ascii="仿宋_GB2312" w:hAnsi="仿宋_GB2312" w:cs="仿宋_GB2312" w:eastAsia="仿宋_GB2312"/>
          <w:sz w:val="20"/>
        </w:rPr>
        <w:t>奶制品</w:t>
      </w:r>
    </w:p>
    <w:p>
      <w:pPr>
        <w:pStyle w:val="null3"/>
        <w:jc w:val="left"/>
      </w:pPr>
      <w:r>
        <w:rPr>
          <w:rFonts w:ascii="仿宋_GB2312" w:hAnsi="仿宋_GB2312" w:cs="仿宋_GB2312" w:eastAsia="仿宋_GB2312"/>
          <w:sz w:val="20"/>
          <w:b/>
        </w:rPr>
        <w:t>【评审指标</w:t>
      </w:r>
      <w:r>
        <w:rPr>
          <w:rFonts w:ascii="仿宋_GB2312" w:hAnsi="仿宋_GB2312" w:cs="仿宋_GB2312" w:eastAsia="仿宋_GB2312"/>
          <w:sz w:val="20"/>
          <w:b/>
        </w:rPr>
        <w:t>9</w:t>
      </w:r>
      <w:r>
        <w:rPr>
          <w:rFonts w:ascii="仿宋_GB2312" w:hAnsi="仿宋_GB2312" w:cs="仿宋_GB2312" w:eastAsia="仿宋_GB2312"/>
          <w:sz w:val="20"/>
          <w:b/>
        </w:rPr>
        <w:t>】</w:t>
      </w:r>
    </w:p>
    <w:p>
      <w:pPr>
        <w:pStyle w:val="null3"/>
        <w:ind w:firstLine="465"/>
        <w:jc w:val="left"/>
      </w:pPr>
      <w:r>
        <w:rPr>
          <w:rFonts w:ascii="仿宋_GB2312" w:hAnsi="仿宋_GB2312" w:cs="仿宋_GB2312" w:eastAsia="仿宋_GB2312"/>
          <w:sz w:val="20"/>
        </w:rPr>
        <w:t>1、巴氏杀菌乳</w:t>
      </w:r>
    </w:p>
    <w:p>
      <w:pPr>
        <w:pStyle w:val="null3"/>
        <w:ind w:firstLine="465"/>
        <w:jc w:val="left"/>
      </w:pPr>
      <w:r>
        <w:rPr>
          <w:rFonts w:ascii="仿宋_GB2312" w:hAnsi="仿宋_GB2312" w:cs="仿宋_GB2312" w:eastAsia="仿宋_GB2312"/>
          <w:sz w:val="20"/>
        </w:rPr>
        <w:t>色泽：呈乳白色或微黄色；</w:t>
      </w:r>
    </w:p>
    <w:p>
      <w:pPr>
        <w:pStyle w:val="null3"/>
        <w:ind w:firstLine="465"/>
        <w:jc w:val="left"/>
      </w:pPr>
      <w:r>
        <w:rPr>
          <w:rFonts w:ascii="仿宋_GB2312" w:hAnsi="仿宋_GB2312" w:cs="仿宋_GB2312" w:eastAsia="仿宋_GB2312"/>
          <w:sz w:val="20"/>
        </w:rPr>
        <w:t>滋味、气味：具有乳固有的香味，无异味；</w:t>
      </w:r>
    </w:p>
    <w:p>
      <w:pPr>
        <w:pStyle w:val="null3"/>
        <w:ind w:firstLine="465"/>
        <w:jc w:val="left"/>
      </w:pPr>
      <w:r>
        <w:rPr>
          <w:rFonts w:ascii="仿宋_GB2312" w:hAnsi="仿宋_GB2312" w:cs="仿宋_GB2312" w:eastAsia="仿宋_GB2312"/>
          <w:sz w:val="20"/>
        </w:rPr>
        <w:t>组织状态：呈均匀一致液体，污凝块、无沉淀、无正常视力可见异物。</w:t>
      </w:r>
    </w:p>
    <w:p>
      <w:pPr>
        <w:pStyle w:val="null3"/>
        <w:jc w:val="left"/>
      </w:pPr>
      <w:r>
        <w:rPr>
          <w:rFonts w:ascii="仿宋_GB2312" w:hAnsi="仿宋_GB2312" w:cs="仿宋_GB2312" w:eastAsia="仿宋_GB2312"/>
          <w:sz w:val="20"/>
          <w:b/>
        </w:rPr>
        <w:t>【评审指标</w:t>
      </w:r>
      <w:r>
        <w:rPr>
          <w:rFonts w:ascii="仿宋_GB2312" w:hAnsi="仿宋_GB2312" w:cs="仿宋_GB2312" w:eastAsia="仿宋_GB2312"/>
          <w:sz w:val="20"/>
          <w:b/>
        </w:rPr>
        <w:t>1</w:t>
      </w:r>
      <w:r>
        <w:rPr>
          <w:rFonts w:ascii="仿宋_GB2312" w:hAnsi="仿宋_GB2312" w:cs="仿宋_GB2312" w:eastAsia="仿宋_GB2312"/>
          <w:sz w:val="20"/>
          <w:b/>
        </w:rPr>
        <w:t>0</w:t>
      </w:r>
      <w:r>
        <w:rPr>
          <w:rFonts w:ascii="仿宋_GB2312" w:hAnsi="仿宋_GB2312" w:cs="仿宋_GB2312" w:eastAsia="仿宋_GB2312"/>
          <w:sz w:val="20"/>
          <w:b/>
        </w:rPr>
        <w:t>】</w:t>
      </w:r>
    </w:p>
    <w:p>
      <w:pPr>
        <w:pStyle w:val="null3"/>
        <w:ind w:firstLine="465"/>
        <w:jc w:val="left"/>
      </w:pPr>
      <w:r>
        <w:rPr>
          <w:rFonts w:ascii="仿宋_GB2312" w:hAnsi="仿宋_GB2312" w:cs="仿宋_GB2312" w:eastAsia="仿宋_GB2312"/>
          <w:sz w:val="20"/>
        </w:rPr>
        <w:t>2、发酵乳</w:t>
      </w:r>
    </w:p>
    <w:p>
      <w:pPr>
        <w:pStyle w:val="null3"/>
        <w:ind w:firstLine="465"/>
        <w:jc w:val="left"/>
      </w:pPr>
      <w:r>
        <w:rPr>
          <w:rFonts w:ascii="仿宋_GB2312" w:hAnsi="仿宋_GB2312" w:cs="仿宋_GB2312" w:eastAsia="仿宋_GB2312"/>
          <w:sz w:val="20"/>
        </w:rPr>
        <w:t>色泽：色泽均匀一致，呈乳白色或微黄色（风味发酵乳：具有添加成分相符的色泽）；</w:t>
      </w:r>
    </w:p>
    <w:p>
      <w:pPr>
        <w:pStyle w:val="null3"/>
        <w:ind w:firstLine="465"/>
        <w:jc w:val="left"/>
      </w:pPr>
      <w:r>
        <w:rPr>
          <w:rFonts w:ascii="仿宋_GB2312" w:hAnsi="仿宋_GB2312" w:cs="仿宋_GB2312" w:eastAsia="仿宋_GB2312"/>
          <w:sz w:val="20"/>
        </w:rPr>
        <w:t>滋味、气味：具有发酵乳特有的滋味、气味（风味发酵乳：具有添加成分相符的滋味和气味）；</w:t>
      </w:r>
    </w:p>
    <w:p>
      <w:pPr>
        <w:pStyle w:val="null3"/>
        <w:ind w:firstLine="465"/>
        <w:jc w:val="left"/>
      </w:pPr>
      <w:r>
        <w:rPr>
          <w:rFonts w:ascii="仿宋_GB2312" w:hAnsi="仿宋_GB2312" w:cs="仿宋_GB2312" w:eastAsia="仿宋_GB2312"/>
          <w:sz w:val="20"/>
        </w:rPr>
        <w:t>组织状态：组织细腻、均匀，允许有少量乳清析出；风味发酵乳具有添加成分特有的组织状态。</w:t>
      </w:r>
    </w:p>
    <w:p>
      <w:pPr>
        <w:pStyle w:val="null3"/>
        <w:ind w:firstLine="402"/>
        <w:jc w:val="left"/>
      </w:pPr>
      <w:r>
        <w:rPr>
          <w:rFonts w:ascii="仿宋_GB2312" w:hAnsi="仿宋_GB2312" w:cs="仿宋_GB2312" w:eastAsia="仿宋_GB2312"/>
          <w:sz w:val="20"/>
          <w:b/>
        </w:rPr>
        <w:t>★</w:t>
      </w:r>
      <w:r>
        <w:rPr>
          <w:rFonts w:ascii="仿宋_GB2312" w:hAnsi="仿宋_GB2312" w:cs="仿宋_GB2312" w:eastAsia="仿宋_GB2312"/>
          <w:sz w:val="20"/>
        </w:rPr>
        <w:t>3、其他奶制品必须符合卫生质量要求及国家相关标准。</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（六）副食品、烘焙材料及其他类</w:t>
      </w:r>
    </w:p>
    <w:p>
      <w:pPr>
        <w:pStyle w:val="null3"/>
        <w:ind w:firstLine="480"/>
        <w:jc w:val="left"/>
      </w:pPr>
      <w:r>
        <w:rPr>
          <w:rFonts w:ascii="仿宋_GB2312" w:hAnsi="仿宋_GB2312" w:cs="仿宋_GB2312" w:eastAsia="仿宋_GB2312"/>
          <w:sz w:val="20"/>
        </w:rPr>
        <w:t>1、所有的副食品及烘焙材料必须符合国家卫生标准和质量要求。</w:t>
      </w:r>
    </w:p>
    <w:p>
      <w:pPr>
        <w:pStyle w:val="null3"/>
        <w:ind w:firstLine="480"/>
        <w:jc w:val="left"/>
      </w:pPr>
      <w:r>
        <w:rPr>
          <w:rFonts w:ascii="仿宋_GB2312" w:hAnsi="仿宋_GB2312" w:cs="仿宋_GB2312" w:eastAsia="仿宋_GB2312"/>
          <w:sz w:val="20"/>
        </w:rPr>
        <w:t>2、糖、味精、酱油、醋、豆制品、生粉等必须具有“SC”食品生产许可证。</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（七）食品包装、辅材、厨房日用品、客房物资等</w:t>
      </w:r>
    </w:p>
    <w:p>
      <w:pPr>
        <w:pStyle w:val="null3"/>
        <w:jc w:val="left"/>
      </w:pPr>
      <w:r>
        <w:rPr>
          <w:rFonts w:ascii="仿宋_GB2312" w:hAnsi="仿宋_GB2312" w:cs="仿宋_GB2312" w:eastAsia="仿宋_GB2312"/>
          <w:sz w:val="20"/>
        </w:rPr>
        <w:t>必须符合国家、行业相关卫生标准和质量要求。</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根据采购人的邮件或者电话传真或线上沟通平台以订购单形式通知中标人订购品种、数量后，按规定的时间内送货，中标人免费运送货物到采购人指定地点。</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福建省福州市鼓楼区五四路25号</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经验收合格。</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1、中标人必须按时按量按质将货物送到采购人指定地点，并由采购人当面核实数量，并按照招标文件中列明的相关标准进行验收。验收完毕后，双方必须在货物收货清单（格式自定，但必须包括货物单价、数量、重量、合价等内容）上签名确认，货物收货清单作为采购人支付货款的依据之一。2、到位后的货物由中标人及采购人共同进行质量验收，中标人必须提供相应的检测报告。货物应清洁，并符合企业相关验收标准，食品应无损伤、腐烂现象、无寄生虫或已受虫害现象，对温度有要求的食品应确定食品的温度与包装上指示温度一致。3、采购人收货时严格按照质量规定验收。</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1、（此为系统固定格式，合同支付方式以序号7“其他”为准）合同签订生效后，达到付款条件起10日内，支付合同总金额的100.00%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其他</w:t>
            </w:r>
          </w:p>
        </w:tc>
        <w:tc>
          <w:tcPr>
            <w:tcW w:type="dxa" w:w="2076"/>
          </w:tcPr>
          <w:p>
            <w:pPr>
              <w:pStyle w:val="null3"/>
              <w:jc w:val="both"/>
            </w:pPr>
            <w:r>
              <w:rPr>
                <w:rFonts w:ascii="仿宋_GB2312" w:hAnsi="仿宋_GB2312" w:cs="仿宋_GB2312" w:eastAsia="仿宋_GB2312"/>
              </w:rPr>
              <w:t>中标人应于每个月的前5个工作日内整理上个月的供货结算书（包括双方签字的货物接收单、供货总价汇总表、增值税专用发票。同时，中标人应提供税务局税控机打印的《增值税应税货物或劳务销货清单》或在发票中注明详细品名。)，并送达采购人处，自采购人收到且确认上个月的供货结算书后于10个工作日付清上个月款项。</w:t>
            </w:r>
          </w:p>
        </w:tc>
      </w:tr>
      <w:tr>
        <w:tc>
          <w:tcPr>
            <w:tcW w:type="dxa" w:w="2076"/>
          </w:tcPr>
          <w:p>
            <w:pPr>
              <w:pStyle w:val="null3"/>
              <w:jc w:val="both"/>
            </w:pPr>
            <w:r>
              <w:rPr>
                <w:rFonts w:ascii="仿宋_GB2312" w:hAnsi="仿宋_GB2312" w:cs="仿宋_GB2312" w:eastAsia="仿宋_GB2312"/>
              </w:rPr>
              <w:t>8</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中标人在签订政府采购合同前应向采购人缴纳合同总金额的5%作为履约保证金，项目交货并验收合格，中标人完成合同约定的事项于履约期满后无其他未了事宜，由中标人提出退款申请，采购人在收到中标人退款申请后30天内无息返还履约保证金。</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b/>
        </w:rPr>
        <w:t>9、验收要求及售后服务</w:t>
      </w:r>
    </w:p>
    <w:p>
      <w:pPr>
        <w:pStyle w:val="null3"/>
        <w:ind w:firstLine="480"/>
        <w:jc w:val="both"/>
      </w:pPr>
      <w:r>
        <w:rPr>
          <w:rFonts w:ascii="仿宋_GB2312" w:hAnsi="仿宋_GB2312" w:cs="仿宋_GB2312" w:eastAsia="仿宋_GB2312"/>
          <w:sz w:val="21"/>
        </w:rPr>
        <w:t>9.1食材大小、重量等规格参数须按采购人的要求配送，如不符合采购人要求的，采购人有权要求退换货。</w:t>
      </w:r>
    </w:p>
    <w:p>
      <w:pPr>
        <w:pStyle w:val="null3"/>
        <w:ind w:firstLine="480"/>
        <w:jc w:val="both"/>
      </w:pPr>
      <w:r>
        <w:rPr>
          <w:rFonts w:ascii="仿宋_GB2312" w:hAnsi="仿宋_GB2312" w:cs="仿宋_GB2312" w:eastAsia="仿宋_GB2312"/>
          <w:sz w:val="21"/>
        </w:rPr>
        <w:t>9.2 采购人有权对不符合质量要求的货物予以退货或要求换货，采购人要求换货或补货的，应由中标人重新供货直至合格，有关供货再行验收，以及给采购人造成的损失等费用由中标人承担。</w:t>
      </w:r>
    </w:p>
    <w:p>
      <w:pPr>
        <w:pStyle w:val="null3"/>
        <w:ind w:firstLine="480"/>
        <w:jc w:val="both"/>
      </w:pPr>
      <w:r>
        <w:rPr>
          <w:rFonts w:ascii="仿宋_GB2312" w:hAnsi="仿宋_GB2312" w:cs="仿宋_GB2312" w:eastAsia="仿宋_GB2312"/>
          <w:sz w:val="21"/>
        </w:rPr>
        <w:t>9.3 货物送至采购人指定交货地点后，中标人应安排专人在采购人指定地点配合称重及验收，由采购人对货物进行验收并签字确认。</w:t>
      </w:r>
    </w:p>
    <w:p>
      <w:pPr>
        <w:pStyle w:val="null3"/>
        <w:ind w:firstLine="480"/>
        <w:jc w:val="both"/>
      </w:pPr>
      <w:r>
        <w:rPr>
          <w:rFonts w:ascii="仿宋_GB2312" w:hAnsi="仿宋_GB2312" w:cs="仿宋_GB2312" w:eastAsia="仿宋_GB2312"/>
          <w:sz w:val="21"/>
        </w:rPr>
        <w:t>9.4 质量要求：中标人必须按照合同质量要求提供货物，不得短斤少两、以次充好，每批次肉类、家禽类须提供当天或本批次政府市场检疫检测部门出具的检疫合格证明原件或复印件；乳制品、饮料要本批次的检测证明；果蔬需提供农药残留化验单等证明材料；进口冷链商品须提供“四证”：海关报关单、海关检验检疫合格证、核酸检测阴性证明、消毒证；冻品应在化冰环境要求下，发现质量问题中标人核实后应予退货。</w:t>
      </w:r>
    </w:p>
    <w:p>
      <w:pPr>
        <w:pStyle w:val="null3"/>
        <w:ind w:firstLine="480"/>
        <w:jc w:val="both"/>
      </w:pPr>
      <w:r>
        <w:rPr>
          <w:rFonts w:ascii="仿宋_GB2312" w:hAnsi="仿宋_GB2312" w:cs="仿宋_GB2312" w:eastAsia="仿宋_GB2312"/>
          <w:sz w:val="21"/>
        </w:rPr>
        <w:t>9.5 数量、重量要求：货物重量若有标准件按标准件抽样称重，并按抽样重量计算，没有标准件按实际过磅重量计算；中标人供货的过磅货物数量不低于订单采购货物的95%，超出采购数量部分不予结算，缺少部分中标人须于货物到达采购人指定地点1小时之内按订单的所列数量补齐。</w:t>
      </w:r>
    </w:p>
    <w:p>
      <w:pPr>
        <w:pStyle w:val="null3"/>
        <w:ind w:firstLine="480"/>
        <w:jc w:val="both"/>
      </w:pPr>
      <w:r>
        <w:rPr>
          <w:rFonts w:ascii="仿宋_GB2312" w:hAnsi="仿宋_GB2312" w:cs="仿宋_GB2312" w:eastAsia="仿宋_GB2312"/>
          <w:sz w:val="21"/>
        </w:rPr>
        <w:t>9.6 退换货要求：中标人所送货物与采购人订单或合同要求不符时或货物送达之前被损坏，经双方确认后中标人须提供包换、包退服务，并应在接到采购人通知后1小时之内，将换货货物送至采购人指定地点替换原有不符或被损坏的货物。</w:t>
      </w:r>
    </w:p>
    <w:p>
      <w:pPr>
        <w:pStyle w:val="null3"/>
        <w:ind w:firstLine="480"/>
        <w:jc w:val="both"/>
      </w:pPr>
      <w:r>
        <w:rPr>
          <w:rFonts w:ascii="仿宋_GB2312" w:hAnsi="仿宋_GB2312" w:cs="仿宋_GB2312" w:eastAsia="仿宋_GB2312"/>
          <w:sz w:val="21"/>
        </w:rPr>
        <w:t>9.7 应急保障要求：中标人应提供自然灾害、公共卫生事件、停水、停电等情况下供应物资应急预备方案。</w:t>
      </w:r>
    </w:p>
    <w:p>
      <w:pPr>
        <w:pStyle w:val="null3"/>
        <w:ind w:firstLine="480"/>
        <w:jc w:val="left"/>
      </w:pPr>
      <w:r>
        <w:rPr>
          <w:rFonts w:ascii="仿宋_GB2312" w:hAnsi="仿宋_GB2312" w:cs="仿宋_GB2312" w:eastAsia="仿宋_GB2312"/>
          <w:sz w:val="21"/>
        </w:rPr>
        <w:t>9.8 中标人应及时接受采购人的意见及时进行整改，遵守采购人管理的有关规定，满足采购人特殊招标模式的需求。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b/>
        </w:rPr>
        <w:t>10、质量异议处理</w:t>
      </w:r>
    </w:p>
    <w:p>
      <w:pPr>
        <w:pStyle w:val="null3"/>
        <w:ind w:firstLine="480"/>
        <w:jc w:val="both"/>
      </w:pPr>
      <w:r>
        <w:rPr>
          <w:rFonts w:ascii="仿宋_GB2312" w:hAnsi="仿宋_GB2312" w:cs="仿宋_GB2312" w:eastAsia="仿宋_GB2312"/>
          <w:sz w:val="21"/>
        </w:rPr>
        <w:t>10.1采购人有权对中标人供应的货物进行定期与不定期的抽样检验，采购人对有疑义的货物有权要求双方代表到场共同提取样品送权威部门检测，抽检合格的检验费用由采购人支付，抽检不合格的即为中标人“货物质量不符合要求”，检验费用由中标人支付，并须承担质量不符合要求货物价值2倍的违约金。</w:t>
      </w:r>
    </w:p>
    <w:p>
      <w:pPr>
        <w:pStyle w:val="null3"/>
        <w:ind w:firstLine="480"/>
        <w:jc w:val="both"/>
      </w:pPr>
      <w:r>
        <w:rPr>
          <w:rFonts w:ascii="仿宋_GB2312" w:hAnsi="仿宋_GB2312" w:cs="仿宋_GB2312" w:eastAsia="仿宋_GB2312"/>
          <w:sz w:val="21"/>
        </w:rPr>
        <w:t>10.2采购人的人员认定中标人所送货物与采购人订单或合同要求不符时或货物送达之前被损坏，有权要求中标人退货或换货的并给予中标人口头整改通知，若中标人有异议，应于接到采购人通知后1小时内回复采购人并协商处理方式，否则将视为中标人对不符合质量要求无异议，中标人应于合同约定时间内退货或换货。</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b/>
        </w:rPr>
        <w:t>11、违约处理及责任</w:t>
      </w:r>
    </w:p>
    <w:p>
      <w:pPr>
        <w:pStyle w:val="null3"/>
        <w:ind w:firstLine="480"/>
        <w:jc w:val="left"/>
      </w:pPr>
      <w:r>
        <w:rPr>
          <w:rFonts w:ascii="仿宋_GB2312" w:hAnsi="仿宋_GB2312" w:cs="仿宋_GB2312" w:eastAsia="仿宋_GB2312"/>
          <w:sz w:val="21"/>
        </w:rPr>
        <w:t>11.1中标人必须按采购人供货通知清单品种、规格、数量要求按时提供全部货物（包括特殊情况、换货和临时补货），超过约定时间1个小时送达的或存在货物短缺未在1小时内调配补齐所缺品种并送到的，出现一次上述情况采购人有权扣除本张货单应送货物价款的5%；出现两次上述情况的，采购人有权扣除本张货单应送货物价款的10%；出现三次上述情况的，采购人有权解除合同。送达的货物经采购人验收不合格的，中标人必须无条件的退换，若因退换不及时而造成采购人品种断档，采购人有权扣除本张货单应送货物价款的10%。</w:t>
      </w:r>
    </w:p>
    <w:p>
      <w:pPr>
        <w:pStyle w:val="null3"/>
        <w:ind w:firstLine="480"/>
        <w:jc w:val="both"/>
      </w:pPr>
      <w:r>
        <w:rPr>
          <w:rFonts w:ascii="仿宋_GB2312" w:hAnsi="仿宋_GB2312" w:cs="仿宋_GB2312" w:eastAsia="仿宋_GB2312"/>
          <w:sz w:val="21"/>
        </w:rPr>
        <w:t>11.2中标人所提供货物在年度内发现以下情形的之一的，采购人有权退货或要求中标人换货并给予中标人口头整改通知，中标人在接到口头整改通知后1个小时之内应进行退货或换货，口头整改通知三次（含）以上中标人仍未退货或换货的，采购人向中标人发出书面整改通知，中标人在接到整改书面通知后须在24小时内给予书面回复并整改完毕，否则视为中标人“货物质量不符合要求”：</w:t>
      </w:r>
    </w:p>
    <w:p>
      <w:pPr>
        <w:pStyle w:val="null3"/>
        <w:ind w:firstLine="480"/>
        <w:jc w:val="both"/>
      </w:pPr>
      <w:r>
        <w:rPr>
          <w:rFonts w:ascii="仿宋_GB2312" w:hAnsi="仿宋_GB2312" w:cs="仿宋_GB2312" w:eastAsia="仿宋_GB2312"/>
          <w:sz w:val="21"/>
        </w:rPr>
        <w:t>（1）中标人提供的蔬菜、水果不符合质量要求的；</w:t>
      </w:r>
    </w:p>
    <w:p>
      <w:pPr>
        <w:pStyle w:val="null3"/>
        <w:ind w:firstLine="480"/>
        <w:jc w:val="both"/>
      </w:pPr>
      <w:r>
        <w:rPr>
          <w:rFonts w:ascii="仿宋_GB2312" w:hAnsi="仿宋_GB2312" w:cs="仿宋_GB2312" w:eastAsia="仿宋_GB2312"/>
          <w:sz w:val="21"/>
        </w:rPr>
        <w:t>（2）中标人提供的每批次面粉未提供货物合格证或货物检验证、发现面粉质量以次充好或不符合质量要求的；</w:t>
      </w:r>
    </w:p>
    <w:p>
      <w:pPr>
        <w:pStyle w:val="null3"/>
        <w:ind w:firstLine="480"/>
        <w:jc w:val="both"/>
      </w:pPr>
      <w:r>
        <w:rPr>
          <w:rFonts w:ascii="仿宋_GB2312" w:hAnsi="仿宋_GB2312" w:cs="仿宋_GB2312" w:eastAsia="仿宋_GB2312"/>
          <w:sz w:val="21"/>
        </w:rPr>
        <w:t>（3）中标人提供的猪、牛、羊、鸡、鸭等鲜、冻肉类及其制品不符合质量要求、出现劣质或违反卫生质量要求的；</w:t>
      </w:r>
    </w:p>
    <w:p>
      <w:pPr>
        <w:pStyle w:val="null3"/>
        <w:ind w:firstLine="480"/>
        <w:jc w:val="both"/>
      </w:pPr>
      <w:r>
        <w:rPr>
          <w:rFonts w:ascii="仿宋_GB2312" w:hAnsi="仿宋_GB2312" w:cs="仿宋_GB2312" w:eastAsia="仿宋_GB2312"/>
          <w:sz w:val="21"/>
        </w:rPr>
        <w:t>（4）中标人提供的鱼、虾、贝、蟹、藻、头足等鲜、冻水货物类及其制品不符合质量要求、出现劣质或违反卫生质量要求的；</w:t>
      </w:r>
    </w:p>
    <w:p>
      <w:pPr>
        <w:pStyle w:val="null3"/>
        <w:ind w:firstLine="480"/>
        <w:jc w:val="both"/>
      </w:pPr>
      <w:r>
        <w:rPr>
          <w:rFonts w:ascii="仿宋_GB2312" w:hAnsi="仿宋_GB2312" w:cs="仿宋_GB2312" w:eastAsia="仿宋_GB2312"/>
          <w:sz w:val="21"/>
        </w:rPr>
        <w:t>（5）中标人提供的禽蛋不符合质量要求的；</w:t>
      </w:r>
    </w:p>
    <w:p>
      <w:pPr>
        <w:pStyle w:val="null3"/>
        <w:ind w:firstLine="480"/>
        <w:jc w:val="both"/>
      </w:pPr>
      <w:r>
        <w:rPr>
          <w:rFonts w:ascii="仿宋_GB2312" w:hAnsi="仿宋_GB2312" w:cs="仿宋_GB2312" w:eastAsia="仿宋_GB2312"/>
          <w:sz w:val="21"/>
        </w:rPr>
        <w:t>（6）中标人提供的每批次奶制品未提供货物合格证或货物检验证、发现奶制品质量以次充好或不符合质量要求的；</w:t>
      </w:r>
    </w:p>
    <w:p>
      <w:pPr>
        <w:pStyle w:val="null3"/>
        <w:ind w:firstLine="480"/>
        <w:jc w:val="both"/>
      </w:pPr>
      <w:r>
        <w:rPr>
          <w:rFonts w:ascii="仿宋_GB2312" w:hAnsi="仿宋_GB2312" w:cs="仿宋_GB2312" w:eastAsia="仿宋_GB2312"/>
          <w:sz w:val="21"/>
        </w:rPr>
        <w:t>（7）中标人提供的副食品或其他类不符合国家卫生标准、质量要求，或发现中标人所提供的副食品或其他类有变质、变味或不符合国家卫生标准等质量问题的。</w:t>
      </w:r>
    </w:p>
    <w:p>
      <w:pPr>
        <w:pStyle w:val="null3"/>
        <w:ind w:firstLine="480"/>
        <w:jc w:val="both"/>
      </w:pPr>
      <w:r>
        <w:rPr>
          <w:rFonts w:ascii="仿宋_GB2312" w:hAnsi="仿宋_GB2312" w:cs="仿宋_GB2312" w:eastAsia="仿宋_GB2312"/>
          <w:sz w:val="21"/>
        </w:rPr>
        <w:t>（8）食材大小、重量等规格参数未按采购人的要求配送的。</w:t>
      </w:r>
    </w:p>
    <w:p>
      <w:pPr>
        <w:pStyle w:val="null3"/>
        <w:ind w:firstLine="480"/>
        <w:jc w:val="both"/>
      </w:pPr>
      <w:r>
        <w:rPr>
          <w:rFonts w:ascii="仿宋_GB2312" w:hAnsi="仿宋_GB2312" w:cs="仿宋_GB2312" w:eastAsia="仿宋_GB2312"/>
          <w:sz w:val="21"/>
        </w:rPr>
        <w:t>发生以上情形或出现约定的“货物质量不符合要求”的，</w:t>
      </w:r>
      <w:r>
        <w:rPr>
          <w:rFonts w:ascii="仿宋_GB2312" w:hAnsi="仿宋_GB2312" w:cs="仿宋_GB2312" w:eastAsia="仿宋_GB2312"/>
          <w:sz w:val="21"/>
          <w:b/>
        </w:rPr>
        <w:t>达到二次，采购人有权单方解除本合同(采购人有权在中标人第一次出现约定的“货物质量不符合要求”的且情况恶劣的，采购人有权单方解除本合同)</w:t>
      </w:r>
      <w:r>
        <w:rPr>
          <w:rFonts w:ascii="仿宋_GB2312" w:hAnsi="仿宋_GB2312" w:cs="仿宋_GB2312" w:eastAsia="仿宋_GB2312"/>
          <w:sz w:val="21"/>
        </w:rPr>
        <w:t>，并不予退还中标人履约保证金，中标人还应赔偿由此给采购人造成的损失。</w:t>
      </w:r>
    </w:p>
    <w:p>
      <w:pPr>
        <w:pStyle w:val="null3"/>
        <w:ind w:firstLine="480"/>
        <w:jc w:val="both"/>
      </w:pPr>
      <w:r>
        <w:rPr>
          <w:rFonts w:ascii="仿宋_GB2312" w:hAnsi="仿宋_GB2312" w:cs="仿宋_GB2312" w:eastAsia="仿宋_GB2312"/>
          <w:sz w:val="21"/>
        </w:rPr>
        <w:t>11.3采购人不定期按批次对不同品种的市场价格进行询价（特价、促销价不作为价格依据），按询价结果如果出现中标人实际供货价格高于中标人承诺价格的情形，每次承担本批次供货通知清单货物价款3倍的违约金。</w:t>
      </w:r>
    </w:p>
    <w:p>
      <w:pPr>
        <w:pStyle w:val="null3"/>
        <w:ind w:firstLine="480"/>
        <w:jc w:val="both"/>
      </w:pPr>
      <w:r>
        <w:rPr>
          <w:rFonts w:ascii="仿宋_GB2312" w:hAnsi="仿宋_GB2312" w:cs="仿宋_GB2312" w:eastAsia="仿宋_GB2312"/>
          <w:sz w:val="21"/>
        </w:rPr>
        <w:t>11.4如中标人不供货或供货时间、数量（数量低于订单数量95%的）、方式和交货地点等不符合订单约定的或未于约定时间内补齐货物数量的，采购人应及时通知中标人整改，中标人在接到通知后须在24小时内整改完毕，如未能及时整改，发生以上情形三次以上（含第三次），采购人有权单方解除本合同，并不予退还供应商履约保证金，中标人还应赔偿由此给采购人造成的损失。</w:t>
      </w:r>
    </w:p>
    <w:p>
      <w:pPr>
        <w:pStyle w:val="null3"/>
        <w:ind w:firstLine="480"/>
        <w:jc w:val="left"/>
      </w:pPr>
      <w:r>
        <w:rPr>
          <w:rFonts w:ascii="仿宋_GB2312" w:hAnsi="仿宋_GB2312" w:cs="仿宋_GB2312" w:eastAsia="仿宋_GB2312"/>
          <w:sz w:val="21"/>
        </w:rPr>
        <w:t>11.5因中标人提供质量不达标或受污染产品，造成采购人发生食物中毒事件的，由中标人承担全部责任。</w:t>
      </w:r>
    </w:p>
    <w:p>
      <w:pPr>
        <w:pStyle w:val="null3"/>
        <w:ind w:firstLine="480"/>
        <w:jc w:val="left"/>
      </w:pPr>
      <w:r>
        <w:rPr>
          <w:rFonts w:ascii="仿宋_GB2312" w:hAnsi="仿宋_GB2312" w:cs="仿宋_GB2312" w:eastAsia="仿宋_GB2312"/>
          <w:sz w:val="21"/>
        </w:rPr>
        <w:t>11.6中标人提供的产品合格证明材料（产品检疫检测报告、物资合格证）与本批次物资不符时，采购人可以拒收，因此对采购人造成影响，按本批产品量合同价值的3倍给予处罚。</w:t>
      </w:r>
    </w:p>
    <w:p>
      <w:pPr>
        <w:pStyle w:val="null3"/>
        <w:ind w:firstLine="480"/>
        <w:jc w:val="left"/>
      </w:pPr>
      <w:r>
        <w:rPr>
          <w:rFonts w:ascii="仿宋_GB2312" w:hAnsi="仿宋_GB2312" w:cs="仿宋_GB2312" w:eastAsia="仿宋_GB2312"/>
          <w:sz w:val="21"/>
        </w:rPr>
        <w:t>11.7中标人未按采购人的要求提供货物，对采购人造成损失的，中标人应全额赔偿。</w:t>
      </w:r>
    </w:p>
    <w:p>
      <w:pPr>
        <w:pStyle w:val="null3"/>
        <w:ind w:firstLine="480"/>
        <w:jc w:val="left"/>
      </w:pPr>
      <w:r>
        <w:rPr>
          <w:rFonts w:ascii="仿宋_GB2312" w:hAnsi="仿宋_GB2312" w:cs="仿宋_GB2312" w:eastAsia="仿宋_GB2312"/>
          <w:sz w:val="21"/>
        </w:rPr>
        <w:t>11.8如遇自然灾害等不可预见的因素造成无法及时提供货物的，经双方协商且经采购人同意后可给予免责。</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b/>
        </w:rPr>
        <w:t>12、考核要求</w:t>
      </w:r>
    </w:p>
    <w:p>
      <w:pPr>
        <w:pStyle w:val="null3"/>
        <w:ind w:firstLine="480"/>
        <w:jc w:val="left"/>
      </w:pPr>
      <w:r>
        <w:rPr>
          <w:rFonts w:ascii="仿宋_GB2312" w:hAnsi="仿宋_GB2312" w:cs="仿宋_GB2312" w:eastAsia="仿宋_GB2312"/>
          <w:sz w:val="21"/>
        </w:rPr>
        <w:t>在中标人合同供货期每一个季度后，收货员、办公室人员、厨师长、管理层人员组织对成交供应商的评审工作。评审工作主要从货物质量、服务、交货及时性、补货及时性四个方面进行评分。</w:t>
      </w:r>
    </w:p>
    <w:p>
      <w:pPr>
        <w:pStyle w:val="null3"/>
        <w:ind w:firstLine="480"/>
        <w:jc w:val="left"/>
      </w:pPr>
      <w:r>
        <w:rPr>
          <w:rFonts w:ascii="仿宋_GB2312" w:hAnsi="仿宋_GB2312" w:cs="仿宋_GB2312" w:eastAsia="仿宋_GB2312"/>
          <w:sz w:val="21"/>
        </w:rPr>
        <w:t>对中标人的综合评价实行综合评分等级制度，总分100分，其中质量、服务各占比30％，交货及时、补货及时各占比20％。</w:t>
      </w:r>
    </w:p>
    <w:p>
      <w:pPr>
        <w:pStyle w:val="null3"/>
        <w:ind w:firstLine="480"/>
        <w:jc w:val="left"/>
      </w:pPr>
      <w:r>
        <w:rPr>
          <w:rFonts w:ascii="仿宋_GB2312" w:hAnsi="仿宋_GB2312" w:cs="仿宋_GB2312" w:eastAsia="仿宋_GB2312"/>
          <w:sz w:val="21"/>
        </w:rPr>
        <w:t>12.1供应商综合评价表</w:t>
      </w:r>
    </w:p>
    <w:tbl>
      <w:tblPr>
        <w:tblW w:w="0" w:type="auto"/>
        <w:tblBorders>
          <w:top w:val="none" w:color="000000" w:sz="4"/>
          <w:left w:val="none" w:color="000000" w:sz="4"/>
          <w:bottom w:val="none" w:color="000000" w:sz="4"/>
          <w:right w:val="none" w:color="000000" w:sz="4"/>
          <w:insideH w:val="none"/>
          <w:insideV w:val="none"/>
        </w:tblBorders>
      </w:tblPr>
      <w:tblGrid>
        <w:gridCol w:w="729"/>
        <w:gridCol w:w="866"/>
        <w:gridCol w:w="987"/>
        <w:gridCol w:w="2035"/>
        <w:gridCol w:w="1276"/>
        <w:gridCol w:w="46"/>
        <w:gridCol w:w="1184"/>
        <w:gridCol w:w="1184"/>
      </w:tblGrid>
      <w:tr>
        <w:tc>
          <w:tcPr>
            <w:tcW w:type="dxa" w:w="4617"/>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供应商</w:t>
            </w:r>
          </w:p>
        </w:tc>
        <w:tc>
          <w:tcPr>
            <w:tcW w:type="dxa" w:w="1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评价日期</w:t>
            </w:r>
          </w:p>
        </w:tc>
        <w:tc>
          <w:tcPr>
            <w:tcW w:type="dxa" w:w="241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评价</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分值</w:t>
            </w:r>
          </w:p>
        </w:tc>
        <w:tc>
          <w:tcPr>
            <w:tcW w:type="dxa" w:w="20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评价方法</w:t>
            </w:r>
          </w:p>
        </w:tc>
        <w:tc>
          <w:tcPr>
            <w:tcW w:type="dxa" w:w="250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评价综合标准</w:t>
            </w:r>
          </w:p>
        </w:tc>
        <w:tc>
          <w:tcPr>
            <w:tcW w:type="dxa" w:w="1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得分</w:t>
            </w:r>
          </w:p>
        </w:tc>
      </w:tr>
      <w:tr>
        <w:tc>
          <w:tcPr>
            <w:tcW w:type="dxa" w:w="7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1</w:t>
            </w:r>
          </w:p>
        </w:tc>
        <w:tc>
          <w:tcPr>
            <w:tcW w:type="dxa" w:w="8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质量</w:t>
            </w:r>
          </w:p>
        </w:tc>
        <w:tc>
          <w:tcPr>
            <w:tcW w:type="dxa" w:w="9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30</w:t>
            </w:r>
          </w:p>
        </w:tc>
        <w:tc>
          <w:tcPr>
            <w:tcW w:type="dxa" w:w="20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综合供应商的日常供货情况</w:t>
            </w:r>
          </w:p>
        </w:tc>
        <w:tc>
          <w:tcPr>
            <w:tcW w:type="dxa" w:w="1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优秀</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20-30</w:t>
            </w:r>
          </w:p>
        </w:tc>
        <w:tc>
          <w:tcPr>
            <w:tcW w:type="dxa" w:w="1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29"/>
            <w:vMerge/>
            <w:tcBorders>
              <w:top w:val="none" w:color="000000" w:sz="4"/>
              <w:left w:val="single" w:color="000000" w:sz="4"/>
              <w:bottom w:val="single" w:color="000000" w:sz="4"/>
              <w:right w:val="single" w:color="000000" w:sz="4"/>
            </w:tcBorders>
          </w:tcPr>
          <w:p/>
        </w:tc>
        <w:tc>
          <w:tcPr>
            <w:tcW w:type="dxa" w:w="866"/>
            <w:vMerge/>
            <w:tcBorders>
              <w:top w:val="none" w:color="000000" w:sz="4"/>
              <w:left w:val="none" w:color="000000" w:sz="4"/>
              <w:bottom w:val="single" w:color="000000" w:sz="4"/>
              <w:right w:val="single" w:color="000000" w:sz="4"/>
            </w:tcBorders>
          </w:tcPr>
          <w:p/>
        </w:tc>
        <w:tc>
          <w:tcPr>
            <w:tcW w:type="dxa" w:w="987"/>
            <w:vMerge/>
            <w:tcBorders>
              <w:top w:val="none" w:color="000000" w:sz="4"/>
              <w:left w:val="none" w:color="000000" w:sz="4"/>
              <w:bottom w:val="single" w:color="000000" w:sz="4"/>
              <w:right w:val="single" w:color="000000" w:sz="4"/>
            </w:tcBorders>
          </w:tcPr>
          <w:p/>
        </w:tc>
        <w:tc>
          <w:tcPr>
            <w:tcW w:type="dxa" w:w="2035"/>
            <w:vMerge/>
            <w:tcBorders>
              <w:top w:val="none" w:color="000000" w:sz="4"/>
              <w:left w:val="none" w:color="000000" w:sz="4"/>
              <w:bottom w:val="single" w:color="000000" w:sz="4"/>
              <w:right w:val="single" w:color="000000" w:sz="4"/>
            </w:tcBorders>
          </w:tcPr>
          <w:p/>
        </w:tc>
        <w:tc>
          <w:tcPr>
            <w:tcW w:type="dxa" w:w="1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良好</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11-19</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29"/>
            <w:vMerge/>
            <w:tcBorders>
              <w:top w:val="none" w:color="000000" w:sz="4"/>
              <w:left w:val="single" w:color="000000" w:sz="4"/>
              <w:bottom w:val="single" w:color="000000" w:sz="4"/>
              <w:right w:val="single" w:color="000000" w:sz="4"/>
            </w:tcBorders>
          </w:tcPr>
          <w:p/>
        </w:tc>
        <w:tc>
          <w:tcPr>
            <w:tcW w:type="dxa" w:w="866"/>
            <w:vMerge/>
            <w:tcBorders>
              <w:top w:val="none" w:color="000000" w:sz="4"/>
              <w:left w:val="none" w:color="000000" w:sz="4"/>
              <w:bottom w:val="single" w:color="000000" w:sz="4"/>
              <w:right w:val="single" w:color="000000" w:sz="4"/>
            </w:tcBorders>
          </w:tcPr>
          <w:p/>
        </w:tc>
        <w:tc>
          <w:tcPr>
            <w:tcW w:type="dxa" w:w="987"/>
            <w:vMerge/>
            <w:tcBorders>
              <w:top w:val="none" w:color="000000" w:sz="4"/>
              <w:left w:val="none" w:color="000000" w:sz="4"/>
              <w:bottom w:val="single" w:color="000000" w:sz="4"/>
              <w:right w:val="single" w:color="000000" w:sz="4"/>
            </w:tcBorders>
          </w:tcPr>
          <w:p/>
        </w:tc>
        <w:tc>
          <w:tcPr>
            <w:tcW w:type="dxa" w:w="2035"/>
            <w:vMerge/>
            <w:tcBorders>
              <w:top w:val="none" w:color="000000" w:sz="4"/>
              <w:left w:val="none" w:color="000000" w:sz="4"/>
              <w:bottom w:val="single" w:color="000000" w:sz="4"/>
              <w:right w:val="single" w:color="000000" w:sz="4"/>
            </w:tcBorders>
          </w:tcPr>
          <w:p/>
        </w:tc>
        <w:tc>
          <w:tcPr>
            <w:tcW w:type="dxa" w:w="1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一般</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6-10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29"/>
            <w:vMerge/>
            <w:tcBorders>
              <w:top w:val="none" w:color="000000" w:sz="4"/>
              <w:left w:val="single" w:color="000000" w:sz="4"/>
              <w:bottom w:val="single" w:color="000000" w:sz="4"/>
              <w:right w:val="single" w:color="000000" w:sz="4"/>
            </w:tcBorders>
          </w:tcPr>
          <w:p/>
        </w:tc>
        <w:tc>
          <w:tcPr>
            <w:tcW w:type="dxa" w:w="866"/>
            <w:vMerge/>
            <w:tcBorders>
              <w:top w:val="none" w:color="000000" w:sz="4"/>
              <w:left w:val="none" w:color="000000" w:sz="4"/>
              <w:bottom w:val="single" w:color="000000" w:sz="4"/>
              <w:right w:val="single" w:color="000000" w:sz="4"/>
            </w:tcBorders>
          </w:tcPr>
          <w:p/>
        </w:tc>
        <w:tc>
          <w:tcPr>
            <w:tcW w:type="dxa" w:w="987"/>
            <w:vMerge/>
            <w:tcBorders>
              <w:top w:val="none" w:color="000000" w:sz="4"/>
              <w:left w:val="none" w:color="000000" w:sz="4"/>
              <w:bottom w:val="single" w:color="000000" w:sz="4"/>
              <w:right w:val="single" w:color="000000" w:sz="4"/>
            </w:tcBorders>
          </w:tcPr>
          <w:p/>
        </w:tc>
        <w:tc>
          <w:tcPr>
            <w:tcW w:type="dxa" w:w="2035"/>
            <w:vMerge/>
            <w:tcBorders>
              <w:top w:val="none" w:color="000000" w:sz="4"/>
              <w:left w:val="none" w:color="000000" w:sz="4"/>
              <w:bottom w:val="single" w:color="000000" w:sz="4"/>
              <w:right w:val="single" w:color="000000" w:sz="4"/>
            </w:tcBorders>
          </w:tcPr>
          <w:p/>
        </w:tc>
        <w:tc>
          <w:tcPr>
            <w:tcW w:type="dxa" w:w="1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差</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1-5</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服务</w:t>
            </w:r>
          </w:p>
        </w:tc>
        <w:tc>
          <w:tcPr>
            <w:tcW w:type="dxa" w:w="9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30</w:t>
            </w:r>
          </w:p>
        </w:tc>
        <w:tc>
          <w:tcPr>
            <w:tcW w:type="dxa" w:w="20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综合供应商平常服务情况及解决问题的态度好坏</w:t>
            </w:r>
          </w:p>
        </w:tc>
        <w:tc>
          <w:tcPr>
            <w:tcW w:type="dxa" w:w="1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优秀</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20-30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29"/>
            <w:vMerge/>
            <w:tcBorders>
              <w:top w:val="none" w:color="000000" w:sz="4"/>
              <w:left w:val="single" w:color="000000" w:sz="4"/>
              <w:bottom w:val="single" w:color="000000" w:sz="4"/>
              <w:right w:val="single" w:color="000000" w:sz="4"/>
            </w:tcBorders>
          </w:tcPr>
          <w:p/>
        </w:tc>
        <w:tc>
          <w:tcPr>
            <w:tcW w:type="dxa" w:w="866"/>
            <w:vMerge/>
            <w:tcBorders>
              <w:top w:val="none" w:color="000000" w:sz="4"/>
              <w:left w:val="none" w:color="000000" w:sz="4"/>
              <w:bottom w:val="single" w:color="000000" w:sz="4"/>
              <w:right w:val="single" w:color="000000" w:sz="4"/>
            </w:tcBorders>
          </w:tcPr>
          <w:p/>
        </w:tc>
        <w:tc>
          <w:tcPr>
            <w:tcW w:type="dxa" w:w="987"/>
            <w:vMerge/>
            <w:tcBorders>
              <w:top w:val="none" w:color="000000" w:sz="4"/>
              <w:left w:val="none" w:color="000000" w:sz="4"/>
              <w:bottom w:val="single" w:color="000000" w:sz="4"/>
              <w:right w:val="single" w:color="000000" w:sz="4"/>
            </w:tcBorders>
          </w:tcPr>
          <w:p/>
        </w:tc>
        <w:tc>
          <w:tcPr>
            <w:tcW w:type="dxa" w:w="2035"/>
            <w:vMerge/>
            <w:tcBorders>
              <w:top w:val="none" w:color="000000" w:sz="4"/>
              <w:left w:val="none" w:color="000000" w:sz="4"/>
              <w:bottom w:val="single" w:color="000000" w:sz="4"/>
              <w:right w:val="single" w:color="000000" w:sz="4"/>
            </w:tcBorders>
          </w:tcPr>
          <w:p/>
        </w:tc>
        <w:tc>
          <w:tcPr>
            <w:tcW w:type="dxa" w:w="1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良好</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11-19</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29"/>
            <w:vMerge/>
            <w:tcBorders>
              <w:top w:val="none" w:color="000000" w:sz="4"/>
              <w:left w:val="single" w:color="000000" w:sz="4"/>
              <w:bottom w:val="single" w:color="000000" w:sz="4"/>
              <w:right w:val="single" w:color="000000" w:sz="4"/>
            </w:tcBorders>
          </w:tcPr>
          <w:p/>
        </w:tc>
        <w:tc>
          <w:tcPr>
            <w:tcW w:type="dxa" w:w="866"/>
            <w:vMerge/>
            <w:tcBorders>
              <w:top w:val="none" w:color="000000" w:sz="4"/>
              <w:left w:val="none" w:color="000000" w:sz="4"/>
              <w:bottom w:val="single" w:color="000000" w:sz="4"/>
              <w:right w:val="single" w:color="000000" w:sz="4"/>
            </w:tcBorders>
          </w:tcPr>
          <w:p/>
        </w:tc>
        <w:tc>
          <w:tcPr>
            <w:tcW w:type="dxa" w:w="987"/>
            <w:vMerge/>
            <w:tcBorders>
              <w:top w:val="none" w:color="000000" w:sz="4"/>
              <w:left w:val="none" w:color="000000" w:sz="4"/>
              <w:bottom w:val="single" w:color="000000" w:sz="4"/>
              <w:right w:val="single" w:color="000000" w:sz="4"/>
            </w:tcBorders>
          </w:tcPr>
          <w:p/>
        </w:tc>
        <w:tc>
          <w:tcPr>
            <w:tcW w:type="dxa" w:w="2035"/>
            <w:vMerge/>
            <w:tcBorders>
              <w:top w:val="none" w:color="000000" w:sz="4"/>
              <w:left w:val="none" w:color="000000" w:sz="4"/>
              <w:bottom w:val="single" w:color="000000" w:sz="4"/>
              <w:right w:val="single" w:color="000000" w:sz="4"/>
            </w:tcBorders>
          </w:tcPr>
          <w:p/>
        </w:tc>
        <w:tc>
          <w:tcPr>
            <w:tcW w:type="dxa" w:w="1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一般</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6-10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29"/>
            <w:vMerge/>
            <w:tcBorders>
              <w:top w:val="none" w:color="000000" w:sz="4"/>
              <w:left w:val="single" w:color="000000" w:sz="4"/>
              <w:bottom w:val="single" w:color="000000" w:sz="4"/>
              <w:right w:val="single" w:color="000000" w:sz="4"/>
            </w:tcBorders>
          </w:tcPr>
          <w:p/>
        </w:tc>
        <w:tc>
          <w:tcPr>
            <w:tcW w:type="dxa" w:w="866"/>
            <w:vMerge/>
            <w:tcBorders>
              <w:top w:val="none" w:color="000000" w:sz="4"/>
              <w:left w:val="none" w:color="000000" w:sz="4"/>
              <w:bottom w:val="single" w:color="000000" w:sz="4"/>
              <w:right w:val="single" w:color="000000" w:sz="4"/>
            </w:tcBorders>
          </w:tcPr>
          <w:p/>
        </w:tc>
        <w:tc>
          <w:tcPr>
            <w:tcW w:type="dxa" w:w="987"/>
            <w:vMerge/>
            <w:tcBorders>
              <w:top w:val="none" w:color="000000" w:sz="4"/>
              <w:left w:val="none" w:color="000000" w:sz="4"/>
              <w:bottom w:val="single" w:color="000000" w:sz="4"/>
              <w:right w:val="single" w:color="000000" w:sz="4"/>
            </w:tcBorders>
          </w:tcPr>
          <w:p/>
        </w:tc>
        <w:tc>
          <w:tcPr>
            <w:tcW w:type="dxa" w:w="2035"/>
            <w:vMerge/>
            <w:tcBorders>
              <w:top w:val="none" w:color="000000" w:sz="4"/>
              <w:left w:val="none" w:color="000000" w:sz="4"/>
              <w:bottom w:val="single" w:color="000000" w:sz="4"/>
              <w:right w:val="single" w:color="000000" w:sz="4"/>
            </w:tcBorders>
          </w:tcPr>
          <w:p/>
        </w:tc>
        <w:tc>
          <w:tcPr>
            <w:tcW w:type="dxa" w:w="1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差</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1-5</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交期</w:t>
            </w:r>
          </w:p>
        </w:tc>
        <w:tc>
          <w:tcPr>
            <w:tcW w:type="dxa" w:w="9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20</w:t>
            </w:r>
          </w:p>
        </w:tc>
        <w:tc>
          <w:tcPr>
            <w:tcW w:type="dxa" w:w="20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根据供应商交货及时性</w:t>
            </w:r>
          </w:p>
        </w:tc>
        <w:tc>
          <w:tcPr>
            <w:tcW w:type="dxa" w:w="1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准时交付</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15-20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29"/>
            <w:vMerge/>
            <w:tcBorders>
              <w:top w:val="none" w:color="000000" w:sz="4"/>
              <w:left w:val="single" w:color="000000" w:sz="4"/>
              <w:bottom w:val="single" w:color="000000" w:sz="4"/>
              <w:right w:val="single" w:color="000000" w:sz="4"/>
            </w:tcBorders>
          </w:tcPr>
          <w:p/>
        </w:tc>
        <w:tc>
          <w:tcPr>
            <w:tcW w:type="dxa" w:w="866"/>
            <w:vMerge/>
            <w:tcBorders>
              <w:top w:val="none" w:color="000000" w:sz="4"/>
              <w:left w:val="none" w:color="000000" w:sz="4"/>
              <w:bottom w:val="single" w:color="000000" w:sz="4"/>
              <w:right w:val="single" w:color="000000" w:sz="4"/>
            </w:tcBorders>
          </w:tcPr>
          <w:p/>
        </w:tc>
        <w:tc>
          <w:tcPr>
            <w:tcW w:type="dxa" w:w="987"/>
            <w:vMerge/>
            <w:tcBorders>
              <w:top w:val="none" w:color="000000" w:sz="4"/>
              <w:left w:val="none" w:color="000000" w:sz="4"/>
              <w:bottom w:val="single" w:color="000000" w:sz="4"/>
              <w:right w:val="single" w:color="000000" w:sz="4"/>
            </w:tcBorders>
          </w:tcPr>
          <w:p/>
        </w:tc>
        <w:tc>
          <w:tcPr>
            <w:tcW w:type="dxa" w:w="2035"/>
            <w:vMerge/>
            <w:tcBorders>
              <w:top w:val="none" w:color="000000" w:sz="4"/>
              <w:left w:val="none" w:color="000000" w:sz="4"/>
              <w:bottom w:val="single" w:color="000000" w:sz="4"/>
              <w:right w:val="single" w:color="000000" w:sz="4"/>
            </w:tcBorders>
          </w:tcPr>
          <w:p/>
        </w:tc>
        <w:tc>
          <w:tcPr>
            <w:tcW w:type="dxa" w:w="1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基本准时</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9-14</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29"/>
            <w:vMerge/>
            <w:tcBorders>
              <w:top w:val="none" w:color="000000" w:sz="4"/>
              <w:left w:val="single" w:color="000000" w:sz="4"/>
              <w:bottom w:val="single" w:color="000000" w:sz="4"/>
              <w:right w:val="single" w:color="000000" w:sz="4"/>
            </w:tcBorders>
          </w:tcPr>
          <w:p/>
        </w:tc>
        <w:tc>
          <w:tcPr>
            <w:tcW w:type="dxa" w:w="866"/>
            <w:vMerge/>
            <w:tcBorders>
              <w:top w:val="none" w:color="000000" w:sz="4"/>
              <w:left w:val="none" w:color="000000" w:sz="4"/>
              <w:bottom w:val="single" w:color="000000" w:sz="4"/>
              <w:right w:val="single" w:color="000000" w:sz="4"/>
            </w:tcBorders>
          </w:tcPr>
          <w:p/>
        </w:tc>
        <w:tc>
          <w:tcPr>
            <w:tcW w:type="dxa" w:w="987"/>
            <w:vMerge/>
            <w:tcBorders>
              <w:top w:val="none" w:color="000000" w:sz="4"/>
              <w:left w:val="none" w:color="000000" w:sz="4"/>
              <w:bottom w:val="single" w:color="000000" w:sz="4"/>
              <w:right w:val="single" w:color="000000" w:sz="4"/>
            </w:tcBorders>
          </w:tcPr>
          <w:p/>
        </w:tc>
        <w:tc>
          <w:tcPr>
            <w:tcW w:type="dxa" w:w="2035"/>
            <w:vMerge/>
            <w:tcBorders>
              <w:top w:val="none" w:color="000000" w:sz="4"/>
              <w:left w:val="none" w:color="000000" w:sz="4"/>
              <w:bottom w:val="single" w:color="000000" w:sz="4"/>
              <w:right w:val="single" w:color="000000" w:sz="4"/>
            </w:tcBorders>
          </w:tcPr>
          <w:p/>
        </w:tc>
        <w:tc>
          <w:tcPr>
            <w:tcW w:type="dxa" w:w="1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不够准时</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4-8</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29"/>
            <w:vMerge/>
            <w:tcBorders>
              <w:top w:val="none" w:color="000000" w:sz="4"/>
              <w:left w:val="single" w:color="000000" w:sz="4"/>
              <w:bottom w:val="single" w:color="000000" w:sz="4"/>
              <w:right w:val="single" w:color="000000" w:sz="4"/>
            </w:tcBorders>
          </w:tcPr>
          <w:p/>
        </w:tc>
        <w:tc>
          <w:tcPr>
            <w:tcW w:type="dxa" w:w="866"/>
            <w:vMerge/>
            <w:tcBorders>
              <w:top w:val="none" w:color="000000" w:sz="4"/>
              <w:left w:val="none" w:color="000000" w:sz="4"/>
              <w:bottom w:val="single" w:color="000000" w:sz="4"/>
              <w:right w:val="single" w:color="000000" w:sz="4"/>
            </w:tcBorders>
          </w:tcPr>
          <w:p/>
        </w:tc>
        <w:tc>
          <w:tcPr>
            <w:tcW w:type="dxa" w:w="987"/>
            <w:vMerge/>
            <w:tcBorders>
              <w:top w:val="none" w:color="000000" w:sz="4"/>
              <w:left w:val="none" w:color="000000" w:sz="4"/>
              <w:bottom w:val="single" w:color="000000" w:sz="4"/>
              <w:right w:val="single" w:color="000000" w:sz="4"/>
            </w:tcBorders>
          </w:tcPr>
          <w:p/>
        </w:tc>
        <w:tc>
          <w:tcPr>
            <w:tcW w:type="dxa" w:w="2035"/>
            <w:vMerge/>
            <w:tcBorders>
              <w:top w:val="none" w:color="000000" w:sz="4"/>
              <w:left w:val="none" w:color="000000" w:sz="4"/>
              <w:bottom w:val="single" w:color="000000" w:sz="4"/>
              <w:right w:val="single" w:color="000000" w:sz="4"/>
            </w:tcBorders>
          </w:tcPr>
          <w:p/>
        </w:tc>
        <w:tc>
          <w:tcPr>
            <w:tcW w:type="dxa" w:w="1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经常延迟</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1-3</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补货</w:t>
            </w:r>
          </w:p>
        </w:tc>
        <w:tc>
          <w:tcPr>
            <w:tcW w:type="dxa" w:w="9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20</w:t>
            </w:r>
          </w:p>
        </w:tc>
        <w:tc>
          <w:tcPr>
            <w:tcW w:type="dxa" w:w="20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根据供应商补货、调换货及时性</w:t>
            </w:r>
          </w:p>
        </w:tc>
        <w:tc>
          <w:tcPr>
            <w:tcW w:type="dxa" w:w="1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及时</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15-20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29"/>
            <w:vMerge/>
            <w:tcBorders>
              <w:top w:val="none" w:color="000000" w:sz="4"/>
              <w:left w:val="single" w:color="000000" w:sz="4"/>
              <w:bottom w:val="single" w:color="000000" w:sz="4"/>
              <w:right w:val="single" w:color="000000" w:sz="4"/>
            </w:tcBorders>
          </w:tcPr>
          <w:p/>
        </w:tc>
        <w:tc>
          <w:tcPr>
            <w:tcW w:type="dxa" w:w="866"/>
            <w:vMerge/>
            <w:tcBorders>
              <w:top w:val="none" w:color="000000" w:sz="4"/>
              <w:left w:val="none" w:color="000000" w:sz="4"/>
              <w:bottom w:val="single" w:color="000000" w:sz="4"/>
              <w:right w:val="single" w:color="000000" w:sz="4"/>
            </w:tcBorders>
          </w:tcPr>
          <w:p/>
        </w:tc>
        <w:tc>
          <w:tcPr>
            <w:tcW w:type="dxa" w:w="987"/>
            <w:vMerge/>
            <w:tcBorders>
              <w:top w:val="none" w:color="000000" w:sz="4"/>
              <w:left w:val="none" w:color="000000" w:sz="4"/>
              <w:bottom w:val="single" w:color="000000" w:sz="4"/>
              <w:right w:val="single" w:color="000000" w:sz="4"/>
            </w:tcBorders>
          </w:tcPr>
          <w:p/>
        </w:tc>
        <w:tc>
          <w:tcPr>
            <w:tcW w:type="dxa" w:w="2035"/>
            <w:vMerge/>
            <w:tcBorders>
              <w:top w:val="none" w:color="000000" w:sz="4"/>
              <w:left w:val="none" w:color="000000" w:sz="4"/>
              <w:bottom w:val="single" w:color="000000" w:sz="4"/>
              <w:right w:val="single" w:color="000000" w:sz="4"/>
            </w:tcBorders>
          </w:tcPr>
          <w:p/>
        </w:tc>
        <w:tc>
          <w:tcPr>
            <w:tcW w:type="dxa" w:w="1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基本及时</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9-14</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29"/>
            <w:vMerge/>
            <w:tcBorders>
              <w:top w:val="none" w:color="000000" w:sz="4"/>
              <w:left w:val="single" w:color="000000" w:sz="4"/>
              <w:bottom w:val="single" w:color="000000" w:sz="4"/>
              <w:right w:val="single" w:color="000000" w:sz="4"/>
            </w:tcBorders>
          </w:tcPr>
          <w:p/>
        </w:tc>
        <w:tc>
          <w:tcPr>
            <w:tcW w:type="dxa" w:w="866"/>
            <w:vMerge/>
            <w:tcBorders>
              <w:top w:val="none" w:color="000000" w:sz="4"/>
              <w:left w:val="none" w:color="000000" w:sz="4"/>
              <w:bottom w:val="single" w:color="000000" w:sz="4"/>
              <w:right w:val="single" w:color="000000" w:sz="4"/>
            </w:tcBorders>
          </w:tcPr>
          <w:p/>
        </w:tc>
        <w:tc>
          <w:tcPr>
            <w:tcW w:type="dxa" w:w="987"/>
            <w:vMerge/>
            <w:tcBorders>
              <w:top w:val="none" w:color="000000" w:sz="4"/>
              <w:left w:val="none" w:color="000000" w:sz="4"/>
              <w:bottom w:val="single" w:color="000000" w:sz="4"/>
              <w:right w:val="single" w:color="000000" w:sz="4"/>
            </w:tcBorders>
          </w:tcPr>
          <w:p/>
        </w:tc>
        <w:tc>
          <w:tcPr>
            <w:tcW w:type="dxa" w:w="2035"/>
            <w:vMerge/>
            <w:tcBorders>
              <w:top w:val="none" w:color="000000" w:sz="4"/>
              <w:left w:val="none" w:color="000000" w:sz="4"/>
              <w:bottom w:val="single" w:color="000000" w:sz="4"/>
              <w:right w:val="single" w:color="000000" w:sz="4"/>
            </w:tcBorders>
          </w:tcPr>
          <w:p/>
        </w:tc>
        <w:tc>
          <w:tcPr>
            <w:tcW w:type="dxa" w:w="1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不够及时</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4-8</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29"/>
            <w:vMerge/>
            <w:tcBorders>
              <w:top w:val="none" w:color="000000" w:sz="4"/>
              <w:left w:val="single" w:color="000000" w:sz="4"/>
              <w:bottom w:val="single" w:color="000000" w:sz="4"/>
              <w:right w:val="single" w:color="000000" w:sz="4"/>
            </w:tcBorders>
          </w:tcPr>
          <w:p/>
        </w:tc>
        <w:tc>
          <w:tcPr>
            <w:tcW w:type="dxa" w:w="866"/>
            <w:vMerge/>
            <w:tcBorders>
              <w:top w:val="none" w:color="000000" w:sz="4"/>
              <w:left w:val="none" w:color="000000" w:sz="4"/>
              <w:bottom w:val="single" w:color="000000" w:sz="4"/>
              <w:right w:val="single" w:color="000000" w:sz="4"/>
            </w:tcBorders>
          </w:tcPr>
          <w:p/>
        </w:tc>
        <w:tc>
          <w:tcPr>
            <w:tcW w:type="dxa" w:w="987"/>
            <w:vMerge/>
            <w:tcBorders>
              <w:top w:val="none" w:color="000000" w:sz="4"/>
              <w:left w:val="none" w:color="000000" w:sz="4"/>
              <w:bottom w:val="single" w:color="000000" w:sz="4"/>
              <w:right w:val="single" w:color="000000" w:sz="4"/>
            </w:tcBorders>
          </w:tcPr>
          <w:p/>
        </w:tc>
        <w:tc>
          <w:tcPr>
            <w:tcW w:type="dxa" w:w="2035"/>
            <w:vMerge/>
            <w:tcBorders>
              <w:top w:val="none" w:color="000000" w:sz="4"/>
              <w:left w:val="none" w:color="000000" w:sz="4"/>
              <w:bottom w:val="single" w:color="000000" w:sz="4"/>
              <w:right w:val="single" w:color="000000" w:sz="4"/>
            </w:tcBorders>
          </w:tcPr>
          <w:p/>
        </w:tc>
        <w:tc>
          <w:tcPr>
            <w:tcW w:type="dxa" w:w="13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经常延迟</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1-3</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12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总分（分）</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30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评价结果（等级）：□A       □B       □C       □D</w:t>
            </w:r>
          </w:p>
        </w:tc>
      </w:tr>
    </w:tbl>
    <w:p>
      <w:pPr>
        <w:pStyle w:val="null3"/>
        <w:ind w:firstLine="400"/>
        <w:jc w:val="left"/>
      </w:pPr>
      <w:r>
        <w:rPr>
          <w:rFonts w:ascii="仿宋_GB2312" w:hAnsi="仿宋_GB2312" w:cs="仿宋_GB2312" w:eastAsia="仿宋_GB2312"/>
          <w:sz w:val="21"/>
        </w:rPr>
        <w:t>12.2考评等级（分为四个档次）：A级：评分平均值≥85分；B级：70分≤评分平均值＜85分；C级：60分≤评分平均值＜70分；D级：评分平均值＜60分。</w:t>
      </w:r>
    </w:p>
    <w:p>
      <w:pPr>
        <w:pStyle w:val="null3"/>
        <w:ind w:firstLine="400"/>
        <w:jc w:val="left"/>
      </w:pPr>
      <w:r>
        <w:rPr>
          <w:rFonts w:ascii="仿宋_GB2312" w:hAnsi="仿宋_GB2312" w:cs="仿宋_GB2312" w:eastAsia="仿宋_GB2312"/>
          <w:sz w:val="21"/>
        </w:rPr>
        <w:t>12.3（1）A级：季度考核A级的不扣除；</w:t>
      </w:r>
    </w:p>
    <w:p>
      <w:pPr>
        <w:pStyle w:val="null3"/>
        <w:ind w:firstLine="400"/>
        <w:jc w:val="left"/>
      </w:pPr>
      <w:r>
        <w:rPr>
          <w:rFonts w:ascii="仿宋_GB2312" w:hAnsi="仿宋_GB2312" w:cs="仿宋_GB2312" w:eastAsia="仿宋_GB2312"/>
          <w:sz w:val="21"/>
        </w:rPr>
        <w:t>（2）B级：从履约保证金中扣除该季度货款的1%；</w:t>
      </w:r>
    </w:p>
    <w:p>
      <w:pPr>
        <w:pStyle w:val="null3"/>
        <w:ind w:firstLine="400"/>
        <w:jc w:val="left"/>
      </w:pPr>
      <w:r>
        <w:rPr>
          <w:rFonts w:ascii="仿宋_GB2312" w:hAnsi="仿宋_GB2312" w:cs="仿宋_GB2312" w:eastAsia="仿宋_GB2312"/>
          <w:sz w:val="21"/>
        </w:rPr>
        <w:t>（3）C级：从履约保证金中扣除该季度货款的2%；</w:t>
      </w:r>
    </w:p>
    <w:p>
      <w:pPr>
        <w:pStyle w:val="null3"/>
        <w:ind w:firstLine="400"/>
        <w:jc w:val="left"/>
      </w:pPr>
      <w:r>
        <w:rPr>
          <w:rFonts w:ascii="仿宋_GB2312" w:hAnsi="仿宋_GB2312" w:cs="仿宋_GB2312" w:eastAsia="仿宋_GB2312"/>
          <w:sz w:val="21"/>
        </w:rPr>
        <w:t>（4）D级：采购人有权单方解除本合同，并不予退还供应商履约保证金，中标人还应赔偿由此给采购人造成的损失。</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b/>
        </w:rPr>
        <w:t>13、其它要求</w:t>
      </w:r>
    </w:p>
    <w:p>
      <w:pPr>
        <w:pStyle w:val="null3"/>
        <w:ind w:firstLine="480"/>
        <w:jc w:val="both"/>
      </w:pPr>
      <w:r>
        <w:rPr>
          <w:rFonts w:ascii="仿宋_GB2312" w:hAnsi="仿宋_GB2312" w:cs="仿宋_GB2312" w:eastAsia="仿宋_GB2312"/>
          <w:sz w:val="21"/>
        </w:rPr>
        <w:t>13.1本项目不允许中标人以任何名义和理由进行转包，如有发现，采购人有权单方终止合同，视为中标人违约，没收履约保证金。如履约保证金不能弥补中标人违约对采购人造成的损失的，中标人还需另行支付相应的赔偿。</w:t>
      </w:r>
    </w:p>
    <w:p>
      <w:pPr>
        <w:pStyle w:val="null3"/>
        <w:ind w:firstLine="480"/>
        <w:jc w:val="both"/>
      </w:pPr>
      <w:r>
        <w:rPr>
          <w:rFonts w:ascii="仿宋_GB2312" w:hAnsi="仿宋_GB2312" w:cs="仿宋_GB2312" w:eastAsia="仿宋_GB2312"/>
          <w:sz w:val="21"/>
        </w:rPr>
        <w:t>13.2本招标文件未明确的其它约定事项或条款，待采购人与中标人签订合同时，由双方协商订立。</w:t>
      </w:r>
    </w:p>
    <w:p>
      <w:pPr>
        <w:pStyle w:val="null3"/>
        <w:ind w:firstLine="480"/>
        <w:jc w:val="both"/>
      </w:pPr>
      <w:r>
        <w:rPr>
          <w:rFonts w:ascii="仿宋_GB2312" w:hAnsi="仿宋_GB2312" w:cs="仿宋_GB2312" w:eastAsia="仿宋_GB2312"/>
          <w:sz w:val="21"/>
        </w:rPr>
        <w:t>13.3因中标人原因发生重大质量事故，除依约承担赔偿责任外，还将按有关质量管理办法规定执行。同时，采购人有权保留更换中标人的权利，并报相关行政主管部门处罚。</w:t>
      </w:r>
    </w:p>
    <w:p>
      <w:pPr>
        <w:pStyle w:val="null3"/>
        <w:ind w:firstLine="480"/>
        <w:jc w:val="both"/>
      </w:pPr>
      <w:r>
        <w:rPr>
          <w:rFonts w:ascii="仿宋_GB2312" w:hAnsi="仿宋_GB2312" w:cs="仿宋_GB2312" w:eastAsia="仿宋_GB2312"/>
          <w:sz w:val="21"/>
        </w:rPr>
        <w:t>13.4若因中标人原因发生食物中毒事故，除按国家有关安全管理规定及采购人有关安全管理办法执行外，并报相关行政主管部门处罚；发生重大安全事故或特大安全事故，除按国家有关安全管理规定及采购人有关安全管理办法执行外，采购人有权终止合同，履约保证金不予退还，给采购人造成的损失，还应承担赔偿责任。</w:t>
      </w:r>
    </w:p>
    <w:p>
      <w:pPr>
        <w:pStyle w:val="null3"/>
        <w:ind w:firstLine="480"/>
        <w:jc w:val="both"/>
      </w:pPr>
      <w:r>
        <w:rPr>
          <w:rFonts w:ascii="仿宋_GB2312" w:hAnsi="仿宋_GB2312" w:cs="仿宋_GB2312" w:eastAsia="仿宋_GB2312"/>
          <w:sz w:val="21"/>
        </w:rPr>
        <w:t>13.5对仅违反合同约定，供应假冒伪劣商品、违禁品的中标人，按照情节轻重明确承担相应的责任，直至取消其中标资格，终止合同，并没收履约保证金。</w:t>
      </w:r>
    </w:p>
    <w:p>
      <w:pPr>
        <w:pStyle w:val="null3"/>
        <w:ind w:firstLine="480"/>
        <w:jc w:val="both"/>
      </w:pPr>
      <w:r>
        <w:rPr>
          <w:rFonts w:ascii="仿宋_GB2312" w:hAnsi="仿宋_GB2312" w:cs="仿宋_GB2312" w:eastAsia="仿宋_GB2312"/>
          <w:sz w:val="21"/>
        </w:rPr>
        <w:t>13.6中标人无故中断货源、停止供货、终止本合同的，中标人已交纳的履约保证金采购人不予退还，中标人还应赔偿由此给采购人造成的损失。</w:t>
      </w:r>
    </w:p>
    <w:p>
      <w:pPr>
        <w:pStyle w:val="null3"/>
        <w:ind w:firstLine="480"/>
        <w:jc w:val="both"/>
      </w:pPr>
      <w:r>
        <w:rPr>
          <w:rFonts w:ascii="仿宋_GB2312" w:hAnsi="仿宋_GB2312" w:cs="仿宋_GB2312" w:eastAsia="仿宋_GB2312"/>
          <w:sz w:val="21"/>
        </w:rPr>
        <w:t>13.7在明确违约责任后，中标人应在接到书面通知书起七天内支付违约金、赔偿金等。</w:t>
      </w:r>
    </w:p>
    <w:p>
      <w:pPr>
        <w:pStyle w:val="null3"/>
        <w:ind w:firstLine="480"/>
        <w:jc w:val="both"/>
      </w:pPr>
      <w:r>
        <w:rPr>
          <w:rFonts w:ascii="仿宋_GB2312" w:hAnsi="仿宋_GB2312" w:cs="仿宋_GB2312" w:eastAsia="仿宋_GB2312"/>
          <w:sz w:val="21"/>
        </w:rPr>
        <w:t>13.8中标人与采购人签订合同时，中标人名称应与其一致。后期向采购人开具发票时，名称也应与其一致。</w:t>
      </w:r>
    </w:p>
    <w:p>
      <w:pPr>
        <w:pStyle w:val="null3"/>
        <w:ind w:firstLine="480"/>
        <w:jc w:val="both"/>
      </w:pPr>
      <w:r>
        <w:rPr>
          <w:rFonts w:ascii="仿宋_GB2312" w:hAnsi="仿宋_GB2312" w:cs="仿宋_GB2312" w:eastAsia="仿宋_GB2312"/>
          <w:sz w:val="21"/>
        </w:rPr>
        <w:t>13.9、本项目合同履行过程中若出现合同解约，中标人须履约供应至采购人招到合格供应商。</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[350001]FJSXY[GK]2025004</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机关食堂食材货物采购</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1(机关食堂食材货物采购)</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机关食堂食材货物采购</w:t>
            </w:r>
          </w:p>
        </w:tc>
        <w:tc>
          <w:tcPr>
            <w:tcW w:type="dxa" w:w="1661"/>
          </w:tcPr>
          <w:p>
            <w:pPr>
              <w:pStyle w:val="null3"/>
              <w:jc w:val="left"/>
            </w:pPr>
            <w:r>
              <w:rPr>
                <w:rFonts w:ascii="仿宋_GB2312" w:hAnsi="仿宋_GB2312" w:cs="仿宋_GB2312" w:eastAsia="仿宋_GB2312"/>
              </w:rPr>
              <w:t xml:space="preserve"> 1800000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[350001]FJSXY[GK]2025004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机关食堂食材货物采购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机关食堂食材货物采购</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食堂食材货物</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食堂食材货物</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